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D1" w:rsidRDefault="00401BD2" w:rsidP="001E56AD">
      <w:pPr>
        <w:spacing w:before="120"/>
        <w:rPr>
          <w:rFonts w:ascii="Cambria" w:hAnsi="Cambria"/>
          <w:b/>
          <w:caps/>
          <w:sz w:val="24"/>
          <w:szCs w:val="24"/>
        </w:rPr>
      </w:pPr>
      <w:r w:rsidRPr="001E56AD">
        <w:rPr>
          <w:rFonts w:ascii="Cambria" w:hAnsi="Cambria"/>
          <w:b/>
          <w:caps/>
          <w:sz w:val="24"/>
          <w:szCs w:val="24"/>
        </w:rPr>
        <w:t>WET WASTE</w:t>
      </w:r>
      <w:r w:rsidR="00426028">
        <w:rPr>
          <w:rFonts w:ascii="Cambria" w:hAnsi="Cambria"/>
          <w:b/>
          <w:caps/>
          <w:sz w:val="24"/>
          <w:szCs w:val="24"/>
        </w:rPr>
        <w:t xml:space="preserve"> ALLOCATIONS </w:t>
      </w:r>
      <w:r w:rsidR="00CC0817" w:rsidRPr="001E56AD">
        <w:rPr>
          <w:rFonts w:ascii="Cambria" w:hAnsi="Cambria"/>
          <w:b/>
          <w:caps/>
          <w:sz w:val="24"/>
          <w:szCs w:val="24"/>
        </w:rPr>
        <w:t>TO PRIVATE TRANSFER STATIONS</w:t>
      </w:r>
      <w:r w:rsidR="00426028">
        <w:rPr>
          <w:rFonts w:ascii="Cambria" w:hAnsi="Cambria"/>
          <w:b/>
          <w:caps/>
          <w:sz w:val="24"/>
          <w:szCs w:val="24"/>
        </w:rPr>
        <w:t>:</w:t>
      </w:r>
    </w:p>
    <w:p w:rsidR="00426028" w:rsidRPr="001E56AD" w:rsidRDefault="00426028" w:rsidP="001E56AD">
      <w:pPr>
        <w:spacing w:before="120"/>
        <w:rPr>
          <w:rFonts w:ascii="Cambria" w:hAnsi="Cambria"/>
          <w:b/>
          <w:caps/>
          <w:sz w:val="24"/>
          <w:szCs w:val="24"/>
        </w:rPr>
      </w:pPr>
      <w:r>
        <w:rPr>
          <w:rFonts w:ascii="Cambria" w:hAnsi="Cambria"/>
          <w:b/>
          <w:caps/>
          <w:sz w:val="24"/>
          <w:szCs w:val="24"/>
        </w:rPr>
        <w:t xml:space="preserve">Background to </w:t>
      </w:r>
      <w:r w:rsidR="00DE77DB">
        <w:rPr>
          <w:rFonts w:ascii="Cambria" w:hAnsi="Cambria"/>
          <w:b/>
          <w:caps/>
          <w:sz w:val="24"/>
          <w:szCs w:val="24"/>
        </w:rPr>
        <w:t xml:space="preserve">GOALS-BASED </w:t>
      </w:r>
      <w:r>
        <w:rPr>
          <w:rFonts w:ascii="Cambria" w:hAnsi="Cambria"/>
          <w:b/>
          <w:caps/>
          <w:sz w:val="24"/>
          <w:szCs w:val="24"/>
        </w:rPr>
        <w:t xml:space="preserve">criteria and implementation plan </w:t>
      </w:r>
    </w:p>
    <w:p w:rsidR="00EE0AC4" w:rsidRPr="0081449C" w:rsidRDefault="00EE0AC4">
      <w:pPr>
        <w:rPr>
          <w:rFonts w:ascii="Cambria" w:hAnsi="Cambria"/>
          <w:caps/>
          <w:sz w:val="24"/>
          <w:szCs w:val="24"/>
        </w:rPr>
      </w:pP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r w:rsidRPr="0081449C">
        <w:rPr>
          <w:rFonts w:ascii="Cambria" w:hAnsi="Cambria"/>
          <w:caps/>
          <w:sz w:val="24"/>
          <w:szCs w:val="24"/>
          <w:u w:val="single"/>
        </w:rPr>
        <w:tab/>
      </w:r>
    </w:p>
    <w:p w:rsidR="00EA77DB" w:rsidRPr="0081449C" w:rsidRDefault="00EA77DB" w:rsidP="00814053">
      <w:pPr>
        <w:rPr>
          <w:rFonts w:ascii="Cambria" w:hAnsi="Cambria"/>
          <w:caps/>
          <w:sz w:val="24"/>
          <w:szCs w:val="24"/>
        </w:rPr>
      </w:pPr>
    </w:p>
    <w:p w:rsidR="000055D5" w:rsidRDefault="00BD6DA2" w:rsidP="000055D5">
      <w:pPr>
        <w:rPr>
          <w:rFonts w:ascii="Cambria" w:hAnsi="Cambria"/>
          <w:sz w:val="24"/>
          <w:szCs w:val="24"/>
        </w:rPr>
      </w:pPr>
      <w:r w:rsidRPr="0081449C">
        <w:rPr>
          <w:rFonts w:ascii="Cambria" w:hAnsi="Cambria"/>
          <w:sz w:val="24"/>
          <w:szCs w:val="24"/>
        </w:rPr>
        <w:t>Date:</w:t>
      </w:r>
      <w:r w:rsidRPr="0081449C">
        <w:rPr>
          <w:rFonts w:ascii="Cambria" w:hAnsi="Cambria"/>
          <w:sz w:val="24"/>
          <w:szCs w:val="24"/>
        </w:rPr>
        <w:tab/>
      </w:r>
      <w:r w:rsidRPr="0081449C">
        <w:rPr>
          <w:rFonts w:ascii="Cambria" w:hAnsi="Cambria"/>
          <w:sz w:val="24"/>
          <w:szCs w:val="24"/>
        </w:rPr>
        <w:tab/>
      </w:r>
      <w:r w:rsidR="00F256AA">
        <w:rPr>
          <w:rFonts w:ascii="Cambria" w:hAnsi="Cambria"/>
          <w:sz w:val="24"/>
          <w:szCs w:val="24"/>
        </w:rPr>
        <w:tab/>
      </w:r>
      <w:r w:rsidR="0089711A">
        <w:rPr>
          <w:rFonts w:ascii="Cambria" w:hAnsi="Cambria"/>
          <w:sz w:val="24"/>
          <w:szCs w:val="24"/>
        </w:rPr>
        <w:t>April 9</w:t>
      </w:r>
      <w:r w:rsidR="00401BD2">
        <w:rPr>
          <w:rFonts w:ascii="Cambria" w:hAnsi="Cambria"/>
          <w:sz w:val="24"/>
          <w:szCs w:val="24"/>
        </w:rPr>
        <w:t>, 2021</w:t>
      </w:r>
    </w:p>
    <w:p w:rsidR="00F256AA" w:rsidRDefault="000055D5" w:rsidP="000055D5">
      <w:pPr>
        <w:rPr>
          <w:rFonts w:ascii="Cambria" w:hAnsi="Cambria"/>
          <w:sz w:val="24"/>
          <w:szCs w:val="24"/>
        </w:rPr>
      </w:pPr>
      <w:r w:rsidRPr="0081449C">
        <w:rPr>
          <w:rFonts w:ascii="Cambria" w:hAnsi="Cambria"/>
          <w:sz w:val="24"/>
          <w:szCs w:val="24"/>
        </w:rPr>
        <w:t>Prepared By:</w:t>
      </w:r>
      <w:r w:rsidR="00BD6DA2" w:rsidRPr="0081449C">
        <w:rPr>
          <w:rFonts w:ascii="Cambria" w:hAnsi="Cambria"/>
          <w:sz w:val="24"/>
          <w:szCs w:val="24"/>
        </w:rPr>
        <w:tab/>
      </w:r>
      <w:r w:rsidR="00F256AA">
        <w:rPr>
          <w:rFonts w:ascii="Cambria" w:hAnsi="Cambria"/>
          <w:sz w:val="24"/>
          <w:szCs w:val="24"/>
        </w:rPr>
        <w:tab/>
        <w:t>Molly Vogt</w:t>
      </w:r>
      <w:r w:rsidR="003C7FD1">
        <w:rPr>
          <w:rFonts w:ascii="Cambria" w:hAnsi="Cambria"/>
          <w:sz w:val="24"/>
          <w:szCs w:val="24"/>
        </w:rPr>
        <w:t>, Analytics Manager</w:t>
      </w:r>
    </w:p>
    <w:p w:rsidR="001831DE" w:rsidRPr="001831DE" w:rsidRDefault="005B5D39" w:rsidP="001831DE">
      <w:pPr>
        <w:ind w:left="1440" w:firstLine="720"/>
        <w:rPr>
          <w:rFonts w:ascii="Cambria" w:hAnsi="Cambria"/>
          <w:sz w:val="24"/>
          <w:szCs w:val="24"/>
        </w:rPr>
      </w:pPr>
      <w:r w:rsidRPr="0081449C">
        <w:rPr>
          <w:rFonts w:ascii="Cambria" w:hAnsi="Cambria"/>
          <w:sz w:val="24"/>
          <w:szCs w:val="24"/>
        </w:rPr>
        <w:t xml:space="preserve">Metro </w:t>
      </w:r>
      <w:r w:rsidR="000055D5" w:rsidRPr="0081449C">
        <w:rPr>
          <w:rFonts w:ascii="Cambria" w:hAnsi="Cambria"/>
          <w:sz w:val="24"/>
          <w:szCs w:val="24"/>
        </w:rPr>
        <w:t>Waste Prevention and Environmental Services</w:t>
      </w:r>
    </w:p>
    <w:p w:rsidR="006F117A" w:rsidRPr="006F117A" w:rsidRDefault="006F117A" w:rsidP="006F117A">
      <w:pPr>
        <w:spacing w:line="259" w:lineRule="auto"/>
        <w:rPr>
          <w:rFonts w:ascii="Cambria" w:eastAsia="Cambria" w:hAnsi="Cambria" w:cs="Cambria"/>
          <w:color w:val="000000"/>
          <w:sz w:val="24"/>
          <w:szCs w:val="22"/>
        </w:rPr>
      </w:pPr>
    </w:p>
    <w:p w:rsidR="006F117A" w:rsidRPr="006F117A" w:rsidRDefault="006F117A" w:rsidP="006F117A">
      <w:pPr>
        <w:keepNext/>
        <w:keepLines/>
        <w:spacing w:after="3" w:line="259" w:lineRule="auto"/>
        <w:ind w:left="-5" w:hanging="10"/>
        <w:outlineLvl w:val="0"/>
        <w:rPr>
          <w:rFonts w:ascii="Cambria" w:eastAsia="Cambria" w:hAnsi="Cambria" w:cs="Cambria"/>
          <w:b/>
          <w:color w:val="000000"/>
          <w:sz w:val="24"/>
          <w:szCs w:val="22"/>
        </w:rPr>
      </w:pPr>
      <w:r>
        <w:rPr>
          <w:rFonts w:ascii="Cambria" w:eastAsia="Cambria" w:hAnsi="Cambria" w:cs="Cambria"/>
          <w:b/>
          <w:color w:val="000000"/>
          <w:sz w:val="24"/>
          <w:szCs w:val="22"/>
        </w:rPr>
        <w:t>Issue statement</w:t>
      </w:r>
    </w:p>
    <w:p w:rsidR="006F117A" w:rsidRPr="006F117A" w:rsidRDefault="006F117A" w:rsidP="006F117A">
      <w:pPr>
        <w:spacing w:after="16" w:line="249" w:lineRule="auto"/>
        <w:ind w:left="10" w:right="54" w:hanging="10"/>
        <w:rPr>
          <w:rFonts w:ascii="Cambria" w:eastAsia="Cambria" w:hAnsi="Cambria" w:cs="Cambria"/>
          <w:color w:val="000000"/>
          <w:sz w:val="24"/>
          <w:szCs w:val="22"/>
        </w:rPr>
      </w:pPr>
      <w:r w:rsidRPr="006F117A">
        <w:rPr>
          <w:rFonts w:ascii="Cambria" w:eastAsia="Cambria" w:hAnsi="Cambria" w:cs="Cambria"/>
          <w:color w:val="000000"/>
          <w:sz w:val="24"/>
          <w:szCs w:val="22"/>
        </w:rPr>
        <w:t xml:space="preserve">Wet waste is a </w:t>
      </w:r>
      <w:r w:rsidR="0089711A">
        <w:rPr>
          <w:rFonts w:ascii="Cambria" w:eastAsia="Cambria" w:hAnsi="Cambria" w:cs="Cambria"/>
          <w:color w:val="000000"/>
          <w:sz w:val="24"/>
          <w:szCs w:val="22"/>
        </w:rPr>
        <w:t>part of the solid waste system</w:t>
      </w:r>
      <w:r w:rsidRPr="006F117A">
        <w:rPr>
          <w:rFonts w:ascii="Cambria" w:eastAsia="Cambria" w:hAnsi="Cambria" w:cs="Cambria"/>
          <w:color w:val="000000"/>
          <w:sz w:val="24"/>
          <w:szCs w:val="22"/>
        </w:rPr>
        <w:t xml:space="preserve"> managed by Metro to serve the public good. </w:t>
      </w:r>
      <w:r w:rsidR="0038784C">
        <w:rPr>
          <w:rFonts w:ascii="Cambria" w:eastAsia="Cambria" w:hAnsi="Cambria" w:cs="Cambria"/>
          <w:color w:val="000000"/>
          <w:sz w:val="24"/>
          <w:szCs w:val="22"/>
        </w:rPr>
        <w:t>Metro</w:t>
      </w:r>
      <w:r w:rsidR="0038784C" w:rsidRPr="0038784C">
        <w:rPr>
          <w:rFonts w:ascii="Cambria" w:eastAsia="Cambria" w:hAnsi="Cambria" w:cs="Cambria"/>
          <w:color w:val="000000"/>
          <w:sz w:val="24"/>
          <w:szCs w:val="22"/>
        </w:rPr>
        <w:t xml:space="preserve"> has chosen to allow a percentage of the region’s wet waste t</w:t>
      </w:r>
      <w:r w:rsidR="0038784C">
        <w:rPr>
          <w:rFonts w:ascii="Cambria" w:eastAsia="Cambria" w:hAnsi="Cambria" w:cs="Cambria"/>
          <w:color w:val="000000"/>
          <w:sz w:val="24"/>
          <w:szCs w:val="22"/>
        </w:rPr>
        <w:t>o go to private transfer stations</w:t>
      </w:r>
      <w:r w:rsidR="0038784C" w:rsidRPr="0038784C">
        <w:rPr>
          <w:rFonts w:ascii="Cambria" w:eastAsia="Cambria" w:hAnsi="Cambria" w:cs="Cambria"/>
          <w:color w:val="000000"/>
          <w:sz w:val="24"/>
          <w:szCs w:val="22"/>
        </w:rPr>
        <w:t xml:space="preserve"> in recognition of the value those stations provide in terms of geographic distribution of services.</w:t>
      </w:r>
      <w:r w:rsidRPr="006F117A">
        <w:rPr>
          <w:rFonts w:ascii="Cambria" w:eastAsia="Cambria" w:hAnsi="Cambria" w:cs="Cambria"/>
          <w:color w:val="000000"/>
          <w:sz w:val="24"/>
          <w:szCs w:val="22"/>
        </w:rPr>
        <w:t xml:space="preserve"> </w:t>
      </w:r>
      <w:r w:rsidR="0038784C">
        <w:rPr>
          <w:rFonts w:ascii="Cambria" w:eastAsia="Cambria" w:hAnsi="Cambria" w:cs="Cambria"/>
          <w:color w:val="000000"/>
          <w:sz w:val="24"/>
          <w:szCs w:val="22"/>
        </w:rPr>
        <w:t>Staff</w:t>
      </w:r>
      <w:r w:rsidRPr="006F117A">
        <w:rPr>
          <w:rFonts w:ascii="Cambria" w:eastAsia="Cambria" w:hAnsi="Cambria" w:cs="Cambria"/>
          <w:color w:val="000000"/>
          <w:sz w:val="24"/>
          <w:szCs w:val="22"/>
        </w:rPr>
        <w:t xml:space="preserve"> </w:t>
      </w:r>
      <w:r w:rsidR="0038784C">
        <w:rPr>
          <w:rFonts w:ascii="Cambria" w:eastAsia="Cambria" w:hAnsi="Cambria" w:cs="Cambria"/>
          <w:color w:val="000000"/>
          <w:sz w:val="24"/>
          <w:szCs w:val="22"/>
        </w:rPr>
        <w:t>are</w:t>
      </w:r>
      <w:r w:rsidRPr="006F117A">
        <w:rPr>
          <w:rFonts w:ascii="Cambria" w:eastAsia="Cambria" w:hAnsi="Cambria" w:cs="Cambria"/>
          <w:color w:val="000000"/>
          <w:sz w:val="24"/>
          <w:szCs w:val="22"/>
        </w:rPr>
        <w:t xml:space="preserve"> developing a systematic and transparent method of allocating </w:t>
      </w:r>
      <w:r w:rsidR="00A87815">
        <w:rPr>
          <w:rFonts w:ascii="Cambria" w:eastAsia="Cambria" w:hAnsi="Cambria" w:cs="Cambria"/>
          <w:color w:val="000000"/>
          <w:sz w:val="24"/>
          <w:szCs w:val="22"/>
        </w:rPr>
        <w:t xml:space="preserve">a portion </w:t>
      </w:r>
      <w:r w:rsidR="0038784C">
        <w:rPr>
          <w:rFonts w:ascii="Cambria" w:eastAsia="Cambria" w:hAnsi="Cambria" w:cs="Cambria"/>
          <w:color w:val="000000"/>
          <w:sz w:val="24"/>
          <w:szCs w:val="22"/>
        </w:rPr>
        <w:t>of regional</w:t>
      </w:r>
      <w:r w:rsidRPr="006F117A">
        <w:rPr>
          <w:rFonts w:ascii="Cambria" w:eastAsia="Cambria" w:hAnsi="Cambria" w:cs="Cambria"/>
          <w:color w:val="000000"/>
          <w:sz w:val="24"/>
          <w:szCs w:val="22"/>
        </w:rPr>
        <w:t xml:space="preserve"> wet waste tonnage to private transfer stations to </w:t>
      </w:r>
      <w:r w:rsidR="0038784C">
        <w:rPr>
          <w:rFonts w:ascii="Cambria" w:eastAsia="Cambria" w:hAnsi="Cambria" w:cs="Cambria"/>
          <w:color w:val="000000"/>
          <w:sz w:val="24"/>
          <w:szCs w:val="22"/>
        </w:rPr>
        <w:t xml:space="preserve">support progress toward regional goals and </w:t>
      </w:r>
      <w:r w:rsidRPr="006F117A">
        <w:rPr>
          <w:rFonts w:ascii="Cambria" w:eastAsia="Cambria" w:hAnsi="Cambria" w:cs="Cambria"/>
          <w:color w:val="000000"/>
          <w:sz w:val="24"/>
          <w:szCs w:val="22"/>
        </w:rPr>
        <w:t>ensure the provision of important public services</w:t>
      </w:r>
      <w:r w:rsidR="0038784C">
        <w:rPr>
          <w:rFonts w:ascii="Cambria" w:eastAsia="Cambria" w:hAnsi="Cambria" w:cs="Cambria"/>
          <w:color w:val="000000"/>
          <w:sz w:val="24"/>
          <w:szCs w:val="22"/>
        </w:rPr>
        <w:t>.</w:t>
      </w:r>
      <w:r w:rsidR="0038784C" w:rsidRPr="0038784C">
        <w:rPr>
          <w:rFonts w:ascii="Cambria" w:eastAsia="Cambria" w:hAnsi="Cambria" w:cs="Cambria"/>
          <w:color w:val="000000"/>
          <w:sz w:val="24"/>
          <w:szCs w:val="22"/>
        </w:rPr>
        <w:t xml:space="preserve"> </w:t>
      </w:r>
    </w:p>
    <w:p w:rsidR="006F117A" w:rsidRDefault="006F117A" w:rsidP="006F117A">
      <w:pPr>
        <w:pStyle w:val="Default"/>
        <w:rPr>
          <w:rFonts w:ascii="Cambria" w:hAnsi="Cambria"/>
        </w:rPr>
      </w:pPr>
    </w:p>
    <w:p w:rsidR="006F117A" w:rsidRPr="006F117A" w:rsidRDefault="00426028" w:rsidP="006F117A">
      <w:pPr>
        <w:pStyle w:val="Default"/>
        <w:rPr>
          <w:rFonts w:ascii="Cambria" w:hAnsi="Cambria"/>
          <w:b/>
        </w:rPr>
      </w:pPr>
      <w:r>
        <w:rPr>
          <w:rFonts w:ascii="Cambria" w:hAnsi="Cambria"/>
          <w:b/>
        </w:rPr>
        <w:t>Connection to the Regional Waste Plan</w:t>
      </w:r>
    </w:p>
    <w:p w:rsidR="00373D4F" w:rsidRPr="0081449C" w:rsidRDefault="00373D4F" w:rsidP="006F117A">
      <w:pPr>
        <w:pStyle w:val="Default"/>
        <w:rPr>
          <w:rFonts w:ascii="Cambria" w:hAnsi="Cambria"/>
        </w:rPr>
      </w:pPr>
      <w:r w:rsidRPr="0081449C">
        <w:rPr>
          <w:rFonts w:ascii="Cambria" w:hAnsi="Cambria"/>
        </w:rPr>
        <w:t xml:space="preserve">In March 2019, Metro adopted the 2030 Regional Waste Plan </w:t>
      </w:r>
      <w:r w:rsidR="006D76DC">
        <w:rPr>
          <w:rFonts w:ascii="Cambria" w:hAnsi="Cambria"/>
        </w:rPr>
        <w:t xml:space="preserve">(RWP) </w:t>
      </w:r>
      <w:r w:rsidRPr="0081449C">
        <w:rPr>
          <w:rFonts w:ascii="Cambria" w:hAnsi="Cambria"/>
        </w:rPr>
        <w:t xml:space="preserve">which sets the policy direction for the region’s solid waste and recycling system. The foundation of this plan is equity—centering the voices, values and needs of communities of color and historically marginalized groups in the region’s solid waste and recycling system. </w:t>
      </w:r>
    </w:p>
    <w:p w:rsidR="00373D4F" w:rsidRPr="0081449C" w:rsidRDefault="00373D4F" w:rsidP="00373D4F">
      <w:pPr>
        <w:pStyle w:val="Default"/>
        <w:rPr>
          <w:rFonts w:ascii="Cambria" w:hAnsi="Cambria"/>
        </w:rPr>
      </w:pPr>
    </w:p>
    <w:p w:rsidR="00373D4F" w:rsidRPr="0081449C" w:rsidRDefault="00373D4F" w:rsidP="0081449C">
      <w:pPr>
        <w:rPr>
          <w:rFonts w:ascii="Cambria" w:hAnsi="Cambria"/>
          <w:sz w:val="24"/>
          <w:szCs w:val="24"/>
        </w:rPr>
      </w:pPr>
      <w:r w:rsidRPr="0081449C">
        <w:rPr>
          <w:rFonts w:ascii="Cambria" w:hAnsi="Cambria"/>
          <w:sz w:val="24"/>
          <w:szCs w:val="24"/>
        </w:rPr>
        <w:t>The p</w:t>
      </w:r>
      <w:r w:rsidR="002F6392">
        <w:rPr>
          <w:rFonts w:ascii="Cambria" w:hAnsi="Cambria"/>
          <w:sz w:val="24"/>
          <w:szCs w:val="24"/>
        </w:rPr>
        <w:t>lan is implemented in many ways:</w:t>
      </w:r>
      <w:r w:rsidRPr="0081449C">
        <w:rPr>
          <w:rFonts w:ascii="Cambria" w:hAnsi="Cambria"/>
          <w:sz w:val="24"/>
          <w:szCs w:val="24"/>
        </w:rPr>
        <w:t xml:space="preserve"> through collaborative programs with local government partn</w:t>
      </w:r>
      <w:r w:rsidR="002F6392">
        <w:rPr>
          <w:rFonts w:ascii="Cambria" w:hAnsi="Cambria"/>
          <w:sz w:val="24"/>
          <w:szCs w:val="24"/>
        </w:rPr>
        <w:t>ers and community organizations,</w:t>
      </w:r>
      <w:r w:rsidRPr="0081449C">
        <w:rPr>
          <w:rFonts w:ascii="Cambria" w:hAnsi="Cambria"/>
          <w:sz w:val="24"/>
          <w:szCs w:val="24"/>
        </w:rPr>
        <w:t xml:space="preserve"> and through required actions that bring </w:t>
      </w:r>
      <w:r w:rsidR="00A975B7">
        <w:rPr>
          <w:rFonts w:ascii="Cambria" w:hAnsi="Cambria"/>
          <w:sz w:val="24"/>
          <w:szCs w:val="24"/>
        </w:rPr>
        <w:t xml:space="preserve">consistent </w:t>
      </w:r>
      <w:r w:rsidRPr="0081449C">
        <w:rPr>
          <w:rFonts w:ascii="Cambria" w:hAnsi="Cambria"/>
          <w:sz w:val="24"/>
          <w:szCs w:val="24"/>
        </w:rPr>
        <w:t xml:space="preserve">standards and </w:t>
      </w:r>
      <w:r w:rsidR="00A975B7">
        <w:rPr>
          <w:rFonts w:ascii="Cambria" w:hAnsi="Cambria"/>
          <w:sz w:val="24"/>
          <w:szCs w:val="24"/>
        </w:rPr>
        <w:t>incentivize progress toward regional goals</w:t>
      </w:r>
      <w:r w:rsidRPr="0081449C">
        <w:rPr>
          <w:rFonts w:ascii="Cambria" w:hAnsi="Cambria"/>
          <w:sz w:val="24"/>
          <w:szCs w:val="24"/>
        </w:rPr>
        <w:t xml:space="preserve">. </w:t>
      </w:r>
      <w:r w:rsidR="002F6392">
        <w:rPr>
          <w:rFonts w:ascii="Cambria" w:hAnsi="Cambria"/>
          <w:sz w:val="24"/>
          <w:szCs w:val="24"/>
        </w:rPr>
        <w:t xml:space="preserve">The required elements of the plan are implemented through </w:t>
      </w:r>
      <w:r w:rsidRPr="0081449C">
        <w:rPr>
          <w:rFonts w:ascii="Cambria" w:hAnsi="Cambria"/>
          <w:sz w:val="24"/>
          <w:szCs w:val="24"/>
        </w:rPr>
        <w:t xml:space="preserve">Metro Code and Administrative Rules. </w:t>
      </w:r>
    </w:p>
    <w:p w:rsidR="00373D4F" w:rsidRPr="0081449C" w:rsidRDefault="00373D4F" w:rsidP="0081449C">
      <w:pPr>
        <w:rPr>
          <w:rFonts w:ascii="Cambria" w:hAnsi="Cambria"/>
          <w:sz w:val="24"/>
          <w:szCs w:val="24"/>
        </w:rPr>
      </w:pPr>
    </w:p>
    <w:p w:rsidR="00373D4F" w:rsidRDefault="00373D4F" w:rsidP="00F31AD6">
      <w:pPr>
        <w:rPr>
          <w:rFonts w:ascii="Cambria" w:hAnsi="Cambria"/>
          <w:sz w:val="24"/>
          <w:szCs w:val="24"/>
        </w:rPr>
      </w:pPr>
      <w:r w:rsidRPr="0081449C">
        <w:rPr>
          <w:rFonts w:ascii="Cambria" w:hAnsi="Cambria"/>
          <w:sz w:val="24"/>
          <w:szCs w:val="24"/>
        </w:rPr>
        <w:t>Goal 16.0 of the plan provides direction to “Maintain a system of facilities, from smaller recycling drop-off depots to larger full-service stations, to ensure equitable distribution of and access to services.”</w:t>
      </w:r>
      <w:r w:rsidR="00426028">
        <w:rPr>
          <w:rFonts w:ascii="Cambria" w:hAnsi="Cambria"/>
          <w:sz w:val="24"/>
          <w:szCs w:val="24"/>
        </w:rPr>
        <w:t xml:space="preserve">  Metro oversees this system,</w:t>
      </w:r>
      <w:r w:rsidRPr="0081449C">
        <w:rPr>
          <w:rFonts w:ascii="Cambria" w:hAnsi="Cambria"/>
          <w:sz w:val="24"/>
          <w:szCs w:val="24"/>
        </w:rPr>
        <w:t xml:space="preserve"> sets requirements for private facilities that receive waste</w:t>
      </w:r>
      <w:r w:rsidR="00426028">
        <w:rPr>
          <w:rFonts w:ascii="Cambria" w:hAnsi="Cambria"/>
          <w:sz w:val="24"/>
          <w:szCs w:val="24"/>
        </w:rPr>
        <w:t>, and annually allocates wet waste to private transfer stations</w:t>
      </w:r>
      <w:r w:rsidRPr="0081449C">
        <w:rPr>
          <w:rFonts w:ascii="Cambria" w:hAnsi="Cambria"/>
          <w:sz w:val="24"/>
          <w:szCs w:val="24"/>
        </w:rPr>
        <w:t xml:space="preserve">. </w:t>
      </w:r>
    </w:p>
    <w:p w:rsidR="00A975B7" w:rsidRDefault="00A975B7" w:rsidP="00F31AD6">
      <w:pPr>
        <w:rPr>
          <w:rFonts w:ascii="Cambria" w:hAnsi="Cambria"/>
          <w:sz w:val="24"/>
          <w:szCs w:val="24"/>
        </w:rPr>
      </w:pPr>
    </w:p>
    <w:p w:rsidR="00A975B7" w:rsidRPr="00A975B7" w:rsidRDefault="00B47010" w:rsidP="00F31AD6">
      <w:pPr>
        <w:rPr>
          <w:rFonts w:ascii="Cambria" w:hAnsi="Cambria"/>
          <w:b/>
          <w:sz w:val="24"/>
          <w:szCs w:val="24"/>
        </w:rPr>
      </w:pPr>
      <w:r>
        <w:rPr>
          <w:rFonts w:ascii="Cambria" w:hAnsi="Cambria"/>
          <w:b/>
          <w:sz w:val="24"/>
          <w:szCs w:val="24"/>
        </w:rPr>
        <w:t>A Phased Approach to Goals-Based Allocations</w:t>
      </w:r>
    </w:p>
    <w:p w:rsidR="0089711A" w:rsidRDefault="0089711A" w:rsidP="0081449C">
      <w:pPr>
        <w:rPr>
          <w:rFonts w:ascii="Cambria" w:hAnsi="Cambria"/>
          <w:sz w:val="24"/>
          <w:szCs w:val="24"/>
        </w:rPr>
      </w:pPr>
      <w:r>
        <w:rPr>
          <w:rFonts w:ascii="Cambria" w:hAnsi="Cambria"/>
          <w:sz w:val="24"/>
          <w:szCs w:val="24"/>
        </w:rPr>
        <w:t xml:space="preserve">In 2016, Council directed staff to develop a transparent </w:t>
      </w:r>
      <w:r w:rsidR="00061620">
        <w:rPr>
          <w:rFonts w:ascii="Cambria" w:hAnsi="Cambria"/>
          <w:sz w:val="24"/>
          <w:szCs w:val="24"/>
        </w:rPr>
        <w:t>method</w:t>
      </w:r>
      <w:r>
        <w:rPr>
          <w:rFonts w:ascii="Cambria" w:hAnsi="Cambria"/>
          <w:sz w:val="24"/>
          <w:szCs w:val="24"/>
        </w:rPr>
        <w:t xml:space="preserve"> for allocating wet waste to ensure that the two public stations receive at least 40 percent of the regional tonnage as proscribed in Metro Code. In 2020, </w:t>
      </w:r>
      <w:r w:rsidR="000055D5" w:rsidRPr="0081449C">
        <w:rPr>
          <w:rFonts w:ascii="Cambria" w:hAnsi="Cambria"/>
          <w:sz w:val="24"/>
          <w:szCs w:val="24"/>
        </w:rPr>
        <w:t xml:space="preserve">Council directed staff to </w:t>
      </w:r>
      <w:r>
        <w:rPr>
          <w:rFonts w:ascii="Cambria" w:hAnsi="Cambria"/>
          <w:sz w:val="24"/>
          <w:szCs w:val="24"/>
        </w:rPr>
        <w:t xml:space="preserve">incorporate Regional Waste Plan Goals into the </w:t>
      </w:r>
      <w:r w:rsidR="00061620">
        <w:rPr>
          <w:rFonts w:ascii="Cambria" w:hAnsi="Cambria"/>
          <w:sz w:val="24"/>
          <w:szCs w:val="24"/>
        </w:rPr>
        <w:t>allocation methodology.</w:t>
      </w:r>
      <w:r>
        <w:rPr>
          <w:rFonts w:ascii="Cambria" w:hAnsi="Cambria"/>
          <w:sz w:val="24"/>
          <w:szCs w:val="24"/>
        </w:rPr>
        <w:t xml:space="preserve"> </w:t>
      </w:r>
    </w:p>
    <w:p w:rsidR="0089711A" w:rsidRDefault="0089711A" w:rsidP="0081449C">
      <w:pPr>
        <w:rPr>
          <w:rFonts w:ascii="Cambria" w:hAnsi="Cambria"/>
          <w:sz w:val="24"/>
          <w:szCs w:val="24"/>
        </w:rPr>
      </w:pPr>
    </w:p>
    <w:p w:rsidR="00246A7C" w:rsidRDefault="00945C23" w:rsidP="0081449C">
      <w:pPr>
        <w:rPr>
          <w:rFonts w:ascii="Cambria" w:hAnsi="Cambria"/>
          <w:sz w:val="24"/>
          <w:szCs w:val="24"/>
        </w:rPr>
      </w:pPr>
      <w:r>
        <w:rPr>
          <w:rFonts w:ascii="Cambria" w:hAnsi="Cambria"/>
          <w:sz w:val="24"/>
          <w:szCs w:val="24"/>
        </w:rPr>
        <w:t>Staff designed a phased approach</w:t>
      </w:r>
      <w:r w:rsidR="001831DE">
        <w:rPr>
          <w:rFonts w:ascii="Cambria" w:hAnsi="Cambria"/>
          <w:sz w:val="24"/>
          <w:szCs w:val="24"/>
        </w:rPr>
        <w:t xml:space="preserve"> </w:t>
      </w:r>
      <w:r w:rsidR="00246A7C">
        <w:rPr>
          <w:rFonts w:ascii="Cambria" w:hAnsi="Cambria"/>
          <w:sz w:val="24"/>
          <w:szCs w:val="24"/>
        </w:rPr>
        <w:t>in order to create a smooth transition to the new system.</w:t>
      </w:r>
      <w:r w:rsidR="00373D4F" w:rsidRPr="0081449C">
        <w:rPr>
          <w:rFonts w:ascii="Cambria" w:hAnsi="Cambria"/>
          <w:sz w:val="24"/>
          <w:szCs w:val="24"/>
        </w:rPr>
        <w:t xml:space="preserve"> </w:t>
      </w:r>
      <w:r>
        <w:rPr>
          <w:rFonts w:ascii="Cambria" w:hAnsi="Cambria"/>
          <w:sz w:val="24"/>
          <w:szCs w:val="24"/>
        </w:rPr>
        <w:t>The Phase 1 approach</w:t>
      </w:r>
      <w:r w:rsidR="00061620">
        <w:rPr>
          <w:rFonts w:ascii="Cambria" w:hAnsi="Cambria"/>
          <w:sz w:val="24"/>
          <w:szCs w:val="24"/>
        </w:rPr>
        <w:t xml:space="preserve"> (Figure 1, left side</w:t>
      </w:r>
      <w:r w:rsidR="001831DE">
        <w:rPr>
          <w:rFonts w:ascii="Cambria" w:hAnsi="Cambria"/>
          <w:sz w:val="24"/>
          <w:szCs w:val="24"/>
        </w:rPr>
        <w:t>),</w:t>
      </w:r>
      <w:r>
        <w:rPr>
          <w:rFonts w:ascii="Cambria" w:hAnsi="Cambria"/>
          <w:sz w:val="24"/>
          <w:szCs w:val="24"/>
        </w:rPr>
        <w:t xml:space="preserve"> was implemented for 2020 allocations</w:t>
      </w:r>
      <w:r w:rsidR="0025590A">
        <w:rPr>
          <w:rFonts w:ascii="Cambria" w:hAnsi="Cambria"/>
          <w:sz w:val="24"/>
          <w:szCs w:val="24"/>
        </w:rPr>
        <w:t xml:space="preserve">. </w:t>
      </w:r>
      <w:r w:rsidR="00B47010">
        <w:rPr>
          <w:rFonts w:ascii="Cambria" w:hAnsi="Cambria"/>
          <w:sz w:val="24"/>
          <w:szCs w:val="24"/>
        </w:rPr>
        <w:t xml:space="preserve">These allocations reduced the historic differences in allocation amounts across transfer stations but did not make them equal. </w:t>
      </w:r>
      <w:r w:rsidR="0025590A">
        <w:rPr>
          <w:rFonts w:ascii="Cambria" w:hAnsi="Cambria"/>
          <w:sz w:val="24"/>
          <w:szCs w:val="24"/>
        </w:rPr>
        <w:t xml:space="preserve">Private transfer stations received allocations that </w:t>
      </w:r>
      <w:r w:rsidR="00B47010">
        <w:rPr>
          <w:rFonts w:ascii="Cambria" w:hAnsi="Cambria"/>
          <w:sz w:val="24"/>
          <w:szCs w:val="24"/>
        </w:rPr>
        <w:t>were</w:t>
      </w:r>
      <w:r w:rsidR="0025590A">
        <w:rPr>
          <w:rFonts w:ascii="Cambria" w:hAnsi="Cambria"/>
          <w:sz w:val="24"/>
          <w:szCs w:val="24"/>
        </w:rPr>
        <w:t xml:space="preserve"> in part proportionate to their previous year’s allocation</w:t>
      </w:r>
      <w:r>
        <w:rPr>
          <w:rFonts w:ascii="Cambria" w:hAnsi="Cambria"/>
          <w:sz w:val="24"/>
          <w:szCs w:val="24"/>
        </w:rPr>
        <w:t>.</w:t>
      </w:r>
    </w:p>
    <w:p w:rsidR="00945C23" w:rsidRDefault="00945C23" w:rsidP="0081449C">
      <w:pPr>
        <w:rPr>
          <w:rFonts w:ascii="Cambria" w:hAnsi="Cambria"/>
          <w:sz w:val="24"/>
          <w:szCs w:val="24"/>
        </w:rPr>
      </w:pPr>
    </w:p>
    <w:p w:rsidR="001831DE" w:rsidRDefault="0081449C" w:rsidP="0081449C">
      <w:pPr>
        <w:rPr>
          <w:rFonts w:asciiTheme="majorHAnsi" w:hAnsiTheme="majorHAnsi"/>
          <w:sz w:val="24"/>
          <w:szCs w:val="24"/>
        </w:rPr>
      </w:pPr>
      <w:r w:rsidRPr="0081449C">
        <w:rPr>
          <w:rFonts w:asciiTheme="majorHAnsi" w:hAnsiTheme="majorHAnsi"/>
          <w:sz w:val="24"/>
          <w:szCs w:val="24"/>
        </w:rPr>
        <w:lastRenderedPageBreak/>
        <w:t>For Phase 2,</w:t>
      </w:r>
      <w:r w:rsidR="001831DE">
        <w:rPr>
          <w:rFonts w:asciiTheme="majorHAnsi" w:hAnsiTheme="majorHAnsi"/>
          <w:sz w:val="24"/>
          <w:szCs w:val="24"/>
        </w:rPr>
        <w:t xml:space="preserve"> calendar year 2021,</w:t>
      </w:r>
      <w:r w:rsidRPr="0081449C">
        <w:rPr>
          <w:rFonts w:asciiTheme="majorHAnsi" w:hAnsiTheme="majorHAnsi"/>
          <w:sz w:val="24"/>
          <w:szCs w:val="24"/>
        </w:rPr>
        <w:t xml:space="preserve"> </w:t>
      </w:r>
      <w:r w:rsidR="002F6392">
        <w:rPr>
          <w:rFonts w:asciiTheme="majorHAnsi" w:hAnsiTheme="majorHAnsi"/>
          <w:sz w:val="24"/>
          <w:szCs w:val="24"/>
        </w:rPr>
        <w:t>Council directed staff to incentivize</w:t>
      </w:r>
      <w:r w:rsidR="006D76DC">
        <w:rPr>
          <w:rFonts w:asciiTheme="majorHAnsi" w:hAnsiTheme="majorHAnsi"/>
          <w:sz w:val="24"/>
          <w:szCs w:val="24"/>
        </w:rPr>
        <w:t xml:space="preserve"> </w:t>
      </w:r>
      <w:r w:rsidR="001831DE">
        <w:rPr>
          <w:rFonts w:asciiTheme="majorHAnsi" w:hAnsiTheme="majorHAnsi"/>
          <w:sz w:val="24"/>
          <w:szCs w:val="24"/>
        </w:rPr>
        <w:t>progress toward achieving</w:t>
      </w:r>
      <w:r w:rsidR="002F6392">
        <w:rPr>
          <w:rFonts w:asciiTheme="majorHAnsi" w:hAnsiTheme="majorHAnsi"/>
          <w:sz w:val="24"/>
          <w:szCs w:val="24"/>
        </w:rPr>
        <w:t xml:space="preserve"> five</w:t>
      </w:r>
      <w:r w:rsidR="001831DE">
        <w:rPr>
          <w:rFonts w:asciiTheme="majorHAnsi" w:hAnsiTheme="majorHAnsi"/>
          <w:sz w:val="24"/>
          <w:szCs w:val="24"/>
        </w:rPr>
        <w:t xml:space="preserve"> </w:t>
      </w:r>
      <w:r w:rsidR="00EA6B6B">
        <w:rPr>
          <w:rFonts w:asciiTheme="majorHAnsi" w:hAnsiTheme="majorHAnsi"/>
          <w:sz w:val="24"/>
          <w:szCs w:val="24"/>
        </w:rPr>
        <w:t>RWP</w:t>
      </w:r>
      <w:r w:rsidR="001831DE">
        <w:rPr>
          <w:rFonts w:asciiTheme="majorHAnsi" w:hAnsiTheme="majorHAnsi"/>
          <w:sz w:val="24"/>
          <w:szCs w:val="24"/>
        </w:rPr>
        <w:t xml:space="preserve"> goals</w:t>
      </w:r>
      <w:r w:rsidR="002F6392">
        <w:rPr>
          <w:rFonts w:asciiTheme="majorHAnsi" w:hAnsiTheme="majorHAnsi"/>
          <w:sz w:val="24"/>
          <w:szCs w:val="24"/>
        </w:rPr>
        <w:t xml:space="preserve"> through goals-based allocations</w:t>
      </w:r>
      <w:r w:rsidR="001831DE">
        <w:rPr>
          <w:rFonts w:asciiTheme="majorHAnsi" w:hAnsiTheme="majorHAnsi"/>
          <w:sz w:val="24"/>
          <w:szCs w:val="24"/>
        </w:rPr>
        <w:t xml:space="preserve">. </w:t>
      </w:r>
      <w:r w:rsidR="0025590A">
        <w:rPr>
          <w:rFonts w:asciiTheme="majorHAnsi" w:hAnsiTheme="majorHAnsi"/>
          <w:sz w:val="24"/>
          <w:szCs w:val="24"/>
        </w:rPr>
        <w:t>Transf</w:t>
      </w:r>
      <w:r w:rsidR="002F6392">
        <w:rPr>
          <w:rFonts w:asciiTheme="majorHAnsi" w:hAnsiTheme="majorHAnsi"/>
          <w:sz w:val="24"/>
          <w:szCs w:val="24"/>
        </w:rPr>
        <w:t>er stations receive a base tonnage allocation with a smaller proportional share than in Phase 1</w:t>
      </w:r>
      <w:r w:rsidR="0025590A">
        <w:rPr>
          <w:rFonts w:asciiTheme="majorHAnsi" w:hAnsiTheme="majorHAnsi"/>
          <w:sz w:val="24"/>
          <w:szCs w:val="24"/>
        </w:rPr>
        <w:t>, and, if they choose to apply for goals-bas</w:t>
      </w:r>
      <w:r w:rsidR="00B47010">
        <w:rPr>
          <w:rFonts w:asciiTheme="majorHAnsi" w:hAnsiTheme="majorHAnsi"/>
          <w:sz w:val="24"/>
          <w:szCs w:val="24"/>
        </w:rPr>
        <w:t>ed tonnage, may receive an additional share</w:t>
      </w:r>
      <w:r w:rsidR="002F6392">
        <w:rPr>
          <w:rFonts w:asciiTheme="majorHAnsi" w:hAnsiTheme="majorHAnsi"/>
          <w:sz w:val="24"/>
          <w:szCs w:val="24"/>
        </w:rPr>
        <w:t xml:space="preserve"> (Figure 1, center)</w:t>
      </w:r>
      <w:r w:rsidR="00061620">
        <w:rPr>
          <w:rFonts w:asciiTheme="majorHAnsi" w:hAnsiTheme="majorHAnsi"/>
          <w:sz w:val="24"/>
          <w:szCs w:val="24"/>
        </w:rPr>
        <w:t>.</w:t>
      </w:r>
    </w:p>
    <w:p w:rsidR="001831DE" w:rsidRDefault="001831DE" w:rsidP="0081449C">
      <w:pPr>
        <w:rPr>
          <w:rFonts w:asciiTheme="majorHAnsi" w:hAnsiTheme="majorHAnsi"/>
          <w:sz w:val="24"/>
          <w:szCs w:val="24"/>
        </w:rPr>
      </w:pPr>
    </w:p>
    <w:p w:rsidR="00945C23" w:rsidRDefault="001831DE" w:rsidP="0081449C">
      <w:pPr>
        <w:rPr>
          <w:rFonts w:asciiTheme="majorHAnsi" w:hAnsiTheme="majorHAnsi"/>
          <w:sz w:val="24"/>
          <w:szCs w:val="24"/>
        </w:rPr>
      </w:pPr>
      <w:r>
        <w:rPr>
          <w:rFonts w:asciiTheme="majorHAnsi" w:hAnsiTheme="majorHAnsi"/>
          <w:sz w:val="24"/>
          <w:szCs w:val="24"/>
        </w:rPr>
        <w:t>In Ph</w:t>
      </w:r>
      <w:r w:rsidR="006D76DC">
        <w:rPr>
          <w:rFonts w:asciiTheme="majorHAnsi" w:hAnsiTheme="majorHAnsi"/>
          <w:sz w:val="24"/>
          <w:szCs w:val="24"/>
        </w:rPr>
        <w:t>ase 3</w:t>
      </w:r>
      <w:r w:rsidR="00B47010">
        <w:rPr>
          <w:rFonts w:asciiTheme="majorHAnsi" w:hAnsiTheme="majorHAnsi"/>
          <w:sz w:val="24"/>
          <w:szCs w:val="24"/>
        </w:rPr>
        <w:t xml:space="preserve"> (Figure 1, right)</w:t>
      </w:r>
      <w:r w:rsidR="006D76DC">
        <w:rPr>
          <w:rFonts w:asciiTheme="majorHAnsi" w:hAnsiTheme="majorHAnsi"/>
          <w:sz w:val="24"/>
          <w:szCs w:val="24"/>
        </w:rPr>
        <w:t>, the goals-based share</w:t>
      </w:r>
      <w:r w:rsidR="0025590A">
        <w:rPr>
          <w:rFonts w:asciiTheme="majorHAnsi" w:hAnsiTheme="majorHAnsi"/>
          <w:sz w:val="24"/>
          <w:szCs w:val="24"/>
        </w:rPr>
        <w:t xml:space="preserve"> increases from 15% to 30% of the regionally forecasted tons</w:t>
      </w:r>
      <w:r w:rsidR="00B47010">
        <w:rPr>
          <w:rFonts w:asciiTheme="majorHAnsi" w:hAnsiTheme="majorHAnsi"/>
          <w:sz w:val="24"/>
          <w:szCs w:val="24"/>
        </w:rPr>
        <w:t xml:space="preserve"> and the proportional share is removed</w:t>
      </w:r>
      <w:r>
        <w:rPr>
          <w:rFonts w:asciiTheme="majorHAnsi" w:hAnsiTheme="majorHAnsi"/>
          <w:sz w:val="24"/>
          <w:szCs w:val="24"/>
        </w:rPr>
        <w:t>.</w:t>
      </w:r>
    </w:p>
    <w:p w:rsidR="001831DE" w:rsidRPr="0081449C" w:rsidRDefault="001831DE" w:rsidP="0081449C">
      <w:pPr>
        <w:rPr>
          <w:rFonts w:asciiTheme="majorHAnsi" w:hAnsiTheme="majorHAnsi"/>
          <w:sz w:val="24"/>
          <w:szCs w:val="24"/>
        </w:rPr>
      </w:pPr>
    </w:p>
    <w:p w:rsidR="00924C52" w:rsidRDefault="00401BD2" w:rsidP="00924C52">
      <w:pPr>
        <w:keepNext/>
        <w:jc w:val="center"/>
      </w:pPr>
      <w:r>
        <w:rPr>
          <w:noProof/>
        </w:rPr>
        <w:drawing>
          <wp:inline distT="0" distB="0" distL="0" distR="0">
            <wp:extent cx="5943600" cy="2454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54910"/>
                    </a:xfrm>
                    <a:prstGeom prst="rect">
                      <a:avLst/>
                    </a:prstGeom>
                    <a:noFill/>
                    <a:ln>
                      <a:noFill/>
                    </a:ln>
                  </pic:spPr>
                </pic:pic>
              </a:graphicData>
            </a:graphic>
          </wp:inline>
        </w:drawing>
      </w:r>
    </w:p>
    <w:p w:rsidR="000055D5" w:rsidRPr="00924C52" w:rsidRDefault="00924C52" w:rsidP="00924C52">
      <w:pPr>
        <w:pStyle w:val="Caption"/>
        <w:jc w:val="center"/>
        <w:rPr>
          <w:color w:val="000000" w:themeColor="text1"/>
        </w:rPr>
      </w:pPr>
      <w:r w:rsidRPr="00924C52">
        <w:rPr>
          <w:color w:val="000000" w:themeColor="text1"/>
        </w:rPr>
        <w:t xml:space="preserve">Figure </w:t>
      </w:r>
      <w:r w:rsidRPr="00924C52">
        <w:rPr>
          <w:color w:val="000000" w:themeColor="text1"/>
        </w:rPr>
        <w:fldChar w:fldCharType="begin"/>
      </w:r>
      <w:r w:rsidRPr="00924C52">
        <w:rPr>
          <w:color w:val="000000" w:themeColor="text1"/>
        </w:rPr>
        <w:instrText xml:space="preserve"> SEQ Figure \* ARABIC </w:instrText>
      </w:r>
      <w:r w:rsidRPr="00924C52">
        <w:rPr>
          <w:color w:val="000000" w:themeColor="text1"/>
        </w:rPr>
        <w:fldChar w:fldCharType="separate"/>
      </w:r>
      <w:r w:rsidRPr="00924C52">
        <w:rPr>
          <w:noProof/>
          <w:color w:val="000000" w:themeColor="text1"/>
        </w:rPr>
        <w:t>1</w:t>
      </w:r>
      <w:r w:rsidRPr="00924C52">
        <w:rPr>
          <w:color w:val="000000" w:themeColor="text1"/>
        </w:rPr>
        <w:fldChar w:fldCharType="end"/>
      </w:r>
      <w:r w:rsidRPr="00924C52">
        <w:rPr>
          <w:color w:val="000000" w:themeColor="text1"/>
        </w:rPr>
        <w:t xml:space="preserve">: Phased </w:t>
      </w:r>
      <w:r w:rsidR="00476DDE">
        <w:rPr>
          <w:color w:val="000000" w:themeColor="text1"/>
        </w:rPr>
        <w:t xml:space="preserve">allocation </w:t>
      </w:r>
      <w:r w:rsidRPr="00924C52">
        <w:rPr>
          <w:color w:val="000000" w:themeColor="text1"/>
        </w:rPr>
        <w:t>approaches</w:t>
      </w:r>
      <w:r w:rsidR="00A975B7">
        <w:rPr>
          <w:color w:val="000000" w:themeColor="text1"/>
        </w:rPr>
        <w:t xml:space="preserve">; </w:t>
      </w:r>
      <w:proofErr w:type="spellStart"/>
      <w:r w:rsidR="00A975B7">
        <w:rPr>
          <w:color w:val="000000" w:themeColor="text1"/>
        </w:rPr>
        <w:t>percents</w:t>
      </w:r>
      <w:proofErr w:type="spellEnd"/>
      <w:r w:rsidR="00A975B7">
        <w:rPr>
          <w:color w:val="000000" w:themeColor="text1"/>
        </w:rPr>
        <w:t xml:space="preserve"> of </w:t>
      </w:r>
      <w:r w:rsidR="006F117A">
        <w:rPr>
          <w:color w:val="000000" w:themeColor="text1"/>
        </w:rPr>
        <w:t xml:space="preserve">adjusted </w:t>
      </w:r>
      <w:r w:rsidR="00A975B7">
        <w:rPr>
          <w:color w:val="000000" w:themeColor="text1"/>
        </w:rPr>
        <w:t xml:space="preserve">regional </w:t>
      </w:r>
      <w:r w:rsidR="006F117A">
        <w:rPr>
          <w:color w:val="000000" w:themeColor="text1"/>
        </w:rPr>
        <w:t>(</w:t>
      </w:r>
      <w:r w:rsidR="00A975B7">
        <w:rPr>
          <w:color w:val="000000" w:themeColor="text1"/>
        </w:rPr>
        <w:t>forecast</w:t>
      </w:r>
      <w:r w:rsidR="006F117A">
        <w:rPr>
          <w:color w:val="000000" w:themeColor="text1"/>
        </w:rPr>
        <w:t>)</w:t>
      </w:r>
      <w:r w:rsidR="00A975B7">
        <w:rPr>
          <w:color w:val="000000" w:themeColor="text1"/>
        </w:rPr>
        <w:t xml:space="preserve"> tonnage</w:t>
      </w:r>
    </w:p>
    <w:p w:rsidR="000055D5" w:rsidRDefault="000055D5" w:rsidP="000055D5">
      <w:pPr>
        <w:rPr>
          <w:rFonts w:asciiTheme="majorHAnsi" w:hAnsiTheme="majorHAnsi"/>
          <w:sz w:val="24"/>
          <w:szCs w:val="24"/>
        </w:rPr>
      </w:pPr>
    </w:p>
    <w:p w:rsidR="00B47010" w:rsidRDefault="00B47010" w:rsidP="000055D5">
      <w:pPr>
        <w:rPr>
          <w:rFonts w:ascii="Cambria" w:hAnsi="Cambria"/>
          <w:b/>
          <w:sz w:val="24"/>
          <w:szCs w:val="24"/>
        </w:rPr>
      </w:pPr>
      <w:r>
        <w:rPr>
          <w:rFonts w:ascii="Cambria" w:hAnsi="Cambria"/>
          <w:b/>
          <w:sz w:val="24"/>
          <w:szCs w:val="24"/>
        </w:rPr>
        <w:t xml:space="preserve">Implementation </w:t>
      </w:r>
      <w:r w:rsidR="00EA6B6B">
        <w:rPr>
          <w:rFonts w:ascii="Cambria" w:hAnsi="Cambria"/>
          <w:b/>
          <w:sz w:val="24"/>
          <w:szCs w:val="24"/>
        </w:rPr>
        <w:t xml:space="preserve">Plan </w:t>
      </w:r>
      <w:r>
        <w:rPr>
          <w:rFonts w:ascii="Cambria" w:hAnsi="Cambria"/>
          <w:b/>
          <w:sz w:val="24"/>
          <w:szCs w:val="24"/>
        </w:rPr>
        <w:t>and Current Status</w:t>
      </w:r>
    </w:p>
    <w:p w:rsidR="00401BD2" w:rsidRDefault="0093370B" w:rsidP="000055D5">
      <w:pPr>
        <w:rPr>
          <w:rFonts w:asciiTheme="majorHAnsi" w:hAnsiTheme="majorHAnsi"/>
          <w:sz w:val="24"/>
          <w:szCs w:val="24"/>
        </w:rPr>
      </w:pPr>
      <w:r>
        <w:rPr>
          <w:rFonts w:asciiTheme="majorHAnsi" w:hAnsiTheme="majorHAnsi"/>
          <w:sz w:val="24"/>
          <w:szCs w:val="24"/>
        </w:rPr>
        <w:t xml:space="preserve">Council directed staff to </w:t>
      </w:r>
      <w:r w:rsidR="00061620">
        <w:rPr>
          <w:rFonts w:asciiTheme="majorHAnsi" w:hAnsiTheme="majorHAnsi"/>
          <w:sz w:val="24"/>
          <w:szCs w:val="24"/>
        </w:rPr>
        <w:t xml:space="preserve">finalize and </w:t>
      </w:r>
      <w:r w:rsidR="00EA6B6B">
        <w:rPr>
          <w:rFonts w:asciiTheme="majorHAnsi" w:hAnsiTheme="majorHAnsi"/>
          <w:sz w:val="24"/>
          <w:szCs w:val="24"/>
        </w:rPr>
        <w:t xml:space="preserve">implement the Phase 2 </w:t>
      </w:r>
      <w:r w:rsidR="006420F4">
        <w:rPr>
          <w:rFonts w:asciiTheme="majorHAnsi" w:hAnsiTheme="majorHAnsi"/>
          <w:sz w:val="24"/>
          <w:szCs w:val="24"/>
        </w:rPr>
        <w:t xml:space="preserve">goals-based </w:t>
      </w:r>
      <w:r w:rsidR="003C7FD1">
        <w:rPr>
          <w:rFonts w:asciiTheme="majorHAnsi" w:hAnsiTheme="majorHAnsi"/>
          <w:sz w:val="24"/>
          <w:szCs w:val="24"/>
        </w:rPr>
        <w:t xml:space="preserve">approach </w:t>
      </w:r>
      <w:r w:rsidR="00061620">
        <w:rPr>
          <w:rFonts w:asciiTheme="majorHAnsi" w:hAnsiTheme="majorHAnsi"/>
          <w:sz w:val="24"/>
          <w:szCs w:val="24"/>
        </w:rPr>
        <w:t>by mid-year 2021</w:t>
      </w:r>
      <w:r w:rsidR="00F256AA">
        <w:rPr>
          <w:rFonts w:asciiTheme="majorHAnsi" w:hAnsiTheme="majorHAnsi"/>
          <w:sz w:val="24"/>
          <w:szCs w:val="24"/>
        </w:rPr>
        <w:t>.</w:t>
      </w:r>
      <w:r w:rsidR="00401BD2">
        <w:rPr>
          <w:rFonts w:asciiTheme="majorHAnsi" w:hAnsiTheme="majorHAnsi"/>
          <w:sz w:val="24"/>
          <w:szCs w:val="24"/>
        </w:rPr>
        <w:t xml:space="preserve"> </w:t>
      </w:r>
      <w:r w:rsidR="003C7FD1">
        <w:rPr>
          <w:rFonts w:asciiTheme="majorHAnsi" w:hAnsiTheme="majorHAnsi"/>
          <w:sz w:val="24"/>
          <w:szCs w:val="24"/>
        </w:rPr>
        <w:t xml:space="preserve">Transfer stations were notified of their 2021 base tonnage allocation shares in December 2020. </w:t>
      </w:r>
      <w:r w:rsidR="0035164F">
        <w:rPr>
          <w:rFonts w:asciiTheme="majorHAnsi" w:hAnsiTheme="majorHAnsi"/>
          <w:sz w:val="24"/>
          <w:szCs w:val="24"/>
        </w:rPr>
        <w:t xml:space="preserve">Criteria for 2021 goals-based allocations </w:t>
      </w:r>
      <w:r w:rsidR="00061620">
        <w:rPr>
          <w:rFonts w:asciiTheme="majorHAnsi" w:hAnsiTheme="majorHAnsi"/>
          <w:sz w:val="24"/>
          <w:szCs w:val="24"/>
        </w:rPr>
        <w:t>were</w:t>
      </w:r>
      <w:r w:rsidR="00401BD2">
        <w:rPr>
          <w:rFonts w:asciiTheme="majorHAnsi" w:hAnsiTheme="majorHAnsi"/>
          <w:sz w:val="24"/>
          <w:szCs w:val="24"/>
        </w:rPr>
        <w:t xml:space="preserve"> finalized</w:t>
      </w:r>
      <w:r w:rsidR="0035164F">
        <w:rPr>
          <w:rFonts w:asciiTheme="majorHAnsi" w:hAnsiTheme="majorHAnsi"/>
          <w:sz w:val="24"/>
          <w:szCs w:val="24"/>
        </w:rPr>
        <w:t xml:space="preserve"> </w:t>
      </w:r>
      <w:r w:rsidR="00061620">
        <w:rPr>
          <w:rFonts w:asciiTheme="majorHAnsi" w:hAnsiTheme="majorHAnsi"/>
          <w:sz w:val="24"/>
          <w:szCs w:val="24"/>
        </w:rPr>
        <w:t>on</w:t>
      </w:r>
      <w:r w:rsidR="0035164F">
        <w:rPr>
          <w:rFonts w:asciiTheme="majorHAnsi" w:hAnsiTheme="majorHAnsi"/>
          <w:sz w:val="24"/>
          <w:szCs w:val="24"/>
        </w:rPr>
        <w:t xml:space="preserve"> March 31, 2021</w:t>
      </w:r>
      <w:r w:rsidR="003C7FD1">
        <w:rPr>
          <w:rFonts w:asciiTheme="majorHAnsi" w:hAnsiTheme="majorHAnsi"/>
          <w:sz w:val="24"/>
          <w:szCs w:val="24"/>
        </w:rPr>
        <w:t>,</w:t>
      </w:r>
      <w:r w:rsidR="00061620">
        <w:rPr>
          <w:rFonts w:asciiTheme="majorHAnsi" w:hAnsiTheme="majorHAnsi"/>
          <w:sz w:val="24"/>
          <w:szCs w:val="24"/>
        </w:rPr>
        <w:t xml:space="preserve"> and are listed in</w:t>
      </w:r>
      <w:r w:rsidR="003C7FD1">
        <w:rPr>
          <w:rFonts w:asciiTheme="majorHAnsi" w:hAnsiTheme="majorHAnsi"/>
          <w:sz w:val="24"/>
          <w:szCs w:val="24"/>
        </w:rPr>
        <w:t xml:space="preserve"> the table on the following page</w:t>
      </w:r>
      <w:r w:rsidR="00401BD2">
        <w:rPr>
          <w:rFonts w:asciiTheme="majorHAnsi" w:hAnsiTheme="majorHAnsi"/>
          <w:sz w:val="24"/>
          <w:szCs w:val="24"/>
        </w:rPr>
        <w:t>. Transfer stations</w:t>
      </w:r>
      <w:r w:rsidR="00B47010">
        <w:rPr>
          <w:rFonts w:asciiTheme="majorHAnsi" w:hAnsiTheme="majorHAnsi"/>
          <w:sz w:val="24"/>
          <w:szCs w:val="24"/>
        </w:rPr>
        <w:t xml:space="preserve"> that choose to apply</w:t>
      </w:r>
      <w:r w:rsidR="00401BD2">
        <w:rPr>
          <w:rFonts w:asciiTheme="majorHAnsi" w:hAnsiTheme="majorHAnsi"/>
          <w:sz w:val="24"/>
          <w:szCs w:val="24"/>
        </w:rPr>
        <w:t xml:space="preserve"> </w:t>
      </w:r>
      <w:r w:rsidR="0035164F">
        <w:rPr>
          <w:rFonts w:asciiTheme="majorHAnsi" w:hAnsiTheme="majorHAnsi"/>
          <w:sz w:val="24"/>
          <w:szCs w:val="24"/>
        </w:rPr>
        <w:t xml:space="preserve">must demonstrate that they meet </w:t>
      </w:r>
      <w:r w:rsidR="003C7FD1">
        <w:rPr>
          <w:rFonts w:asciiTheme="majorHAnsi" w:hAnsiTheme="majorHAnsi"/>
          <w:sz w:val="24"/>
          <w:szCs w:val="24"/>
        </w:rPr>
        <w:t>one or more</w:t>
      </w:r>
      <w:r w:rsidR="0035164F">
        <w:rPr>
          <w:rFonts w:asciiTheme="majorHAnsi" w:hAnsiTheme="majorHAnsi"/>
          <w:sz w:val="24"/>
          <w:szCs w:val="24"/>
        </w:rPr>
        <w:t xml:space="preserve"> criteria by</w:t>
      </w:r>
      <w:r w:rsidR="00F256AA">
        <w:rPr>
          <w:rFonts w:asciiTheme="majorHAnsi" w:hAnsiTheme="majorHAnsi"/>
          <w:sz w:val="24"/>
          <w:szCs w:val="24"/>
        </w:rPr>
        <w:t xml:space="preserve"> June 30, 2021</w:t>
      </w:r>
      <w:r w:rsidR="003C7FD1">
        <w:rPr>
          <w:rFonts w:asciiTheme="majorHAnsi" w:hAnsiTheme="majorHAnsi"/>
          <w:sz w:val="24"/>
          <w:szCs w:val="24"/>
        </w:rPr>
        <w:t>,</w:t>
      </w:r>
      <w:r w:rsidR="00401BD2">
        <w:rPr>
          <w:rFonts w:asciiTheme="majorHAnsi" w:hAnsiTheme="majorHAnsi"/>
          <w:sz w:val="24"/>
          <w:szCs w:val="24"/>
        </w:rPr>
        <w:t xml:space="preserve"> to </w:t>
      </w:r>
      <w:r w:rsidR="00B47010">
        <w:rPr>
          <w:rFonts w:asciiTheme="majorHAnsi" w:hAnsiTheme="majorHAnsi"/>
          <w:sz w:val="24"/>
          <w:szCs w:val="24"/>
        </w:rPr>
        <w:t>receive</w:t>
      </w:r>
      <w:r w:rsidR="00401BD2">
        <w:rPr>
          <w:rFonts w:asciiTheme="majorHAnsi" w:hAnsiTheme="majorHAnsi"/>
          <w:sz w:val="24"/>
          <w:szCs w:val="24"/>
        </w:rPr>
        <w:t xml:space="preserve"> </w:t>
      </w:r>
      <w:r w:rsidR="00F256AA">
        <w:rPr>
          <w:rFonts w:asciiTheme="majorHAnsi" w:hAnsiTheme="majorHAnsi"/>
          <w:sz w:val="24"/>
          <w:szCs w:val="24"/>
        </w:rPr>
        <w:t xml:space="preserve">additional </w:t>
      </w:r>
      <w:r w:rsidR="00401BD2">
        <w:rPr>
          <w:rFonts w:asciiTheme="majorHAnsi" w:hAnsiTheme="majorHAnsi"/>
          <w:sz w:val="24"/>
          <w:szCs w:val="24"/>
        </w:rPr>
        <w:t>goals-based tonnage</w:t>
      </w:r>
      <w:r w:rsidR="003C7FD1">
        <w:rPr>
          <w:rFonts w:asciiTheme="majorHAnsi" w:hAnsiTheme="majorHAnsi"/>
          <w:sz w:val="24"/>
          <w:szCs w:val="24"/>
        </w:rPr>
        <w:t xml:space="preserve"> in the current calendar year</w:t>
      </w:r>
      <w:r w:rsidR="00401BD2">
        <w:rPr>
          <w:rFonts w:asciiTheme="majorHAnsi" w:hAnsiTheme="majorHAnsi"/>
          <w:sz w:val="24"/>
          <w:szCs w:val="24"/>
        </w:rPr>
        <w:t>.</w:t>
      </w:r>
    </w:p>
    <w:p w:rsidR="003C7FD1" w:rsidRDefault="003C7FD1" w:rsidP="000055D5">
      <w:pPr>
        <w:rPr>
          <w:rFonts w:asciiTheme="majorHAnsi" w:hAnsiTheme="majorHAnsi"/>
          <w:sz w:val="24"/>
          <w:szCs w:val="24"/>
        </w:rPr>
      </w:pPr>
    </w:p>
    <w:p w:rsidR="003C7FD1" w:rsidRDefault="003C7FD1" w:rsidP="000055D5">
      <w:pPr>
        <w:rPr>
          <w:rFonts w:asciiTheme="majorHAnsi" w:hAnsiTheme="majorHAnsi"/>
          <w:sz w:val="24"/>
          <w:szCs w:val="24"/>
        </w:rPr>
      </w:pPr>
      <w:r>
        <w:rPr>
          <w:rFonts w:asciiTheme="majorHAnsi" w:hAnsiTheme="majorHAnsi"/>
          <w:sz w:val="24"/>
          <w:szCs w:val="24"/>
        </w:rPr>
        <w:t xml:space="preserve">Metro is now developing the </w:t>
      </w:r>
      <w:r w:rsidR="00B47010">
        <w:rPr>
          <w:rFonts w:asciiTheme="majorHAnsi" w:hAnsiTheme="majorHAnsi"/>
          <w:sz w:val="24"/>
          <w:szCs w:val="24"/>
        </w:rPr>
        <w:t xml:space="preserve">Phase 3 </w:t>
      </w:r>
      <w:r>
        <w:rPr>
          <w:rFonts w:asciiTheme="majorHAnsi" w:hAnsiTheme="majorHAnsi"/>
          <w:sz w:val="24"/>
          <w:szCs w:val="24"/>
        </w:rPr>
        <w:t>criteria and reporting requi</w:t>
      </w:r>
      <w:r w:rsidR="00B47010">
        <w:rPr>
          <w:rFonts w:asciiTheme="majorHAnsi" w:hAnsiTheme="majorHAnsi"/>
          <w:sz w:val="24"/>
          <w:szCs w:val="24"/>
        </w:rPr>
        <w:t>rements</w:t>
      </w:r>
      <w:r>
        <w:rPr>
          <w:rFonts w:asciiTheme="majorHAnsi" w:hAnsiTheme="majorHAnsi"/>
          <w:sz w:val="24"/>
          <w:szCs w:val="24"/>
        </w:rPr>
        <w:t xml:space="preserve"> which will be used to determine allocations for calendar year 2022 and beyond. The standard schedule for announcing allocations is synchronized with the release of the solid waste forecast each fall. In order to return to the schedule of complete fall allocation announcements, staff must release the 2022 criteria </w:t>
      </w:r>
      <w:r w:rsidR="00426028">
        <w:rPr>
          <w:rFonts w:asciiTheme="majorHAnsi" w:hAnsiTheme="majorHAnsi"/>
          <w:sz w:val="24"/>
          <w:szCs w:val="24"/>
        </w:rPr>
        <w:t>this</w:t>
      </w:r>
      <w:r>
        <w:rPr>
          <w:rFonts w:asciiTheme="majorHAnsi" w:hAnsiTheme="majorHAnsi"/>
          <w:sz w:val="24"/>
          <w:szCs w:val="24"/>
        </w:rPr>
        <w:t xml:space="preserve"> summer so that transfer stations that choose to apply for goals-based tonnage may have up to three months to demonstrate that they meet criteria.</w:t>
      </w:r>
    </w:p>
    <w:p w:rsidR="003C7FD1" w:rsidRDefault="003C7FD1" w:rsidP="000055D5">
      <w:pPr>
        <w:rPr>
          <w:rFonts w:asciiTheme="majorHAnsi" w:hAnsiTheme="majorHAnsi"/>
          <w:sz w:val="24"/>
          <w:szCs w:val="24"/>
        </w:rPr>
      </w:pPr>
    </w:p>
    <w:p w:rsidR="006D76DC" w:rsidRDefault="003C7FD1">
      <w:pPr>
        <w:rPr>
          <w:rFonts w:asciiTheme="majorHAnsi" w:hAnsiTheme="majorHAnsi"/>
          <w:sz w:val="24"/>
          <w:szCs w:val="24"/>
        </w:rPr>
      </w:pPr>
      <w:r>
        <w:rPr>
          <w:rFonts w:asciiTheme="majorHAnsi" w:hAnsiTheme="majorHAnsi"/>
          <w:sz w:val="24"/>
          <w:szCs w:val="24"/>
        </w:rPr>
        <w:t>Metro is committed to advancing the goals of the regional waste p</w:t>
      </w:r>
      <w:r w:rsidR="00B47010">
        <w:rPr>
          <w:rFonts w:asciiTheme="majorHAnsi" w:hAnsiTheme="majorHAnsi"/>
          <w:sz w:val="24"/>
          <w:szCs w:val="24"/>
        </w:rPr>
        <w:t>lan through this methodology and</w:t>
      </w:r>
      <w:r>
        <w:rPr>
          <w:rFonts w:asciiTheme="majorHAnsi" w:hAnsiTheme="majorHAnsi"/>
          <w:sz w:val="24"/>
          <w:szCs w:val="24"/>
        </w:rPr>
        <w:t xml:space="preserve"> must also consider potential impacts on transfer stations</w:t>
      </w:r>
      <w:r w:rsidR="0025590A">
        <w:rPr>
          <w:rFonts w:asciiTheme="majorHAnsi" w:hAnsiTheme="majorHAnsi"/>
          <w:sz w:val="24"/>
          <w:szCs w:val="24"/>
        </w:rPr>
        <w:t xml:space="preserve"> and system stability</w:t>
      </w:r>
      <w:r>
        <w:rPr>
          <w:rFonts w:asciiTheme="majorHAnsi" w:hAnsiTheme="majorHAnsi"/>
          <w:sz w:val="24"/>
          <w:szCs w:val="24"/>
        </w:rPr>
        <w:t xml:space="preserve">. </w:t>
      </w:r>
      <w:r w:rsidR="0025590A">
        <w:rPr>
          <w:rFonts w:asciiTheme="majorHAnsi" w:hAnsiTheme="majorHAnsi"/>
          <w:sz w:val="24"/>
          <w:szCs w:val="24"/>
        </w:rPr>
        <w:t xml:space="preserve">To achieve a </w:t>
      </w:r>
      <w:r>
        <w:rPr>
          <w:rFonts w:asciiTheme="majorHAnsi" w:hAnsiTheme="majorHAnsi"/>
          <w:sz w:val="24"/>
          <w:szCs w:val="24"/>
        </w:rPr>
        <w:t>balance</w:t>
      </w:r>
      <w:r w:rsidR="0025590A">
        <w:rPr>
          <w:rFonts w:asciiTheme="majorHAnsi" w:hAnsiTheme="majorHAnsi"/>
          <w:sz w:val="24"/>
          <w:szCs w:val="24"/>
        </w:rPr>
        <w:t xml:space="preserve"> between these two objectives, staff are designing the set of 2022 criteria to be a mix of 1)</w:t>
      </w:r>
      <w:r>
        <w:rPr>
          <w:rFonts w:asciiTheme="majorHAnsi" w:hAnsiTheme="majorHAnsi"/>
          <w:sz w:val="24"/>
          <w:szCs w:val="24"/>
        </w:rPr>
        <w:t xml:space="preserve"> </w:t>
      </w:r>
      <w:r w:rsidR="0025590A">
        <w:rPr>
          <w:rFonts w:asciiTheme="majorHAnsi" w:hAnsiTheme="majorHAnsi"/>
          <w:sz w:val="24"/>
          <w:szCs w:val="24"/>
        </w:rPr>
        <w:t xml:space="preserve">continuations of current criteria to </w:t>
      </w:r>
      <w:r>
        <w:rPr>
          <w:rFonts w:asciiTheme="majorHAnsi" w:hAnsiTheme="majorHAnsi"/>
          <w:sz w:val="24"/>
          <w:szCs w:val="24"/>
        </w:rPr>
        <w:t>minimize di</w:t>
      </w:r>
      <w:r w:rsidR="0025590A">
        <w:rPr>
          <w:rFonts w:asciiTheme="majorHAnsi" w:hAnsiTheme="majorHAnsi"/>
          <w:sz w:val="24"/>
          <w:szCs w:val="24"/>
        </w:rPr>
        <w:t>sruption and 2) revised c</w:t>
      </w:r>
      <w:r w:rsidR="00862E81">
        <w:rPr>
          <w:rFonts w:asciiTheme="majorHAnsi" w:hAnsiTheme="majorHAnsi"/>
          <w:sz w:val="24"/>
          <w:szCs w:val="24"/>
        </w:rPr>
        <w:t>riteria that further advance Regional Waste Plan</w:t>
      </w:r>
      <w:r w:rsidR="0025590A">
        <w:rPr>
          <w:rFonts w:asciiTheme="majorHAnsi" w:hAnsiTheme="majorHAnsi"/>
          <w:sz w:val="24"/>
          <w:szCs w:val="24"/>
        </w:rPr>
        <w:t xml:space="preserve"> goals.</w:t>
      </w:r>
    </w:p>
    <w:p w:rsidR="00EA6B6B" w:rsidRDefault="00EA6B6B">
      <w:pPr>
        <w:rPr>
          <w:rFonts w:asciiTheme="majorHAnsi" w:hAnsiTheme="majorHAnsi"/>
          <w:b/>
          <w:sz w:val="24"/>
          <w:szCs w:val="24"/>
        </w:rPr>
      </w:pPr>
      <w:r>
        <w:rPr>
          <w:rFonts w:asciiTheme="majorHAnsi" w:hAnsiTheme="majorHAnsi"/>
          <w:b/>
          <w:sz w:val="24"/>
          <w:szCs w:val="24"/>
        </w:rPr>
        <w:br w:type="page"/>
      </w:r>
    </w:p>
    <w:p w:rsidR="0081449C" w:rsidRDefault="00EE40D0" w:rsidP="0081449C">
      <w:pPr>
        <w:rPr>
          <w:rFonts w:asciiTheme="majorHAnsi" w:hAnsiTheme="majorHAnsi"/>
          <w:b/>
          <w:sz w:val="24"/>
          <w:szCs w:val="24"/>
        </w:rPr>
      </w:pPr>
      <w:r>
        <w:rPr>
          <w:rFonts w:asciiTheme="majorHAnsi" w:hAnsiTheme="majorHAnsi"/>
          <w:b/>
          <w:sz w:val="24"/>
          <w:szCs w:val="24"/>
        </w:rPr>
        <w:lastRenderedPageBreak/>
        <w:t>2021</w:t>
      </w:r>
      <w:r w:rsidR="00A87815">
        <w:rPr>
          <w:rFonts w:asciiTheme="majorHAnsi" w:hAnsiTheme="majorHAnsi"/>
          <w:b/>
          <w:sz w:val="24"/>
          <w:szCs w:val="24"/>
        </w:rPr>
        <w:t xml:space="preserve"> </w:t>
      </w:r>
      <w:r w:rsidR="0096084C">
        <w:rPr>
          <w:rFonts w:asciiTheme="majorHAnsi" w:hAnsiTheme="majorHAnsi"/>
          <w:b/>
          <w:sz w:val="24"/>
          <w:szCs w:val="24"/>
        </w:rPr>
        <w:t>Goals-Based Allocation Criteria</w:t>
      </w:r>
    </w:p>
    <w:p w:rsidR="00A87815" w:rsidRPr="00A87815" w:rsidRDefault="00A87815" w:rsidP="0081449C">
      <w:pPr>
        <w:rPr>
          <w:rFonts w:asciiTheme="majorHAnsi" w:hAnsiTheme="majorHAnsi"/>
          <w:b/>
          <w:sz w:val="24"/>
          <w:szCs w:val="24"/>
        </w:rPr>
      </w:pPr>
    </w:p>
    <w:tbl>
      <w:tblPr>
        <w:tblStyle w:val="GridTable1Light"/>
        <w:tblW w:w="9345" w:type="dxa"/>
        <w:tblLook w:val="06A0" w:firstRow="1" w:lastRow="0" w:firstColumn="1" w:lastColumn="0" w:noHBand="1" w:noVBand="1"/>
      </w:tblPr>
      <w:tblGrid>
        <w:gridCol w:w="4315"/>
        <w:gridCol w:w="5030"/>
      </w:tblGrid>
      <w:tr w:rsidR="00CA54F5" w:rsidRPr="00A87815" w:rsidTr="00426028">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15" w:type="dxa"/>
            <w:hideMark/>
          </w:tcPr>
          <w:p w:rsidR="00CA54F5" w:rsidRPr="00A87815" w:rsidRDefault="00CA54F5" w:rsidP="00354A55">
            <w:pPr>
              <w:textAlignment w:val="baseline"/>
              <w:rPr>
                <w:rFonts w:ascii="Times New Roman" w:hAnsi="Times New Roman"/>
                <w:sz w:val="24"/>
                <w:szCs w:val="24"/>
              </w:rPr>
            </w:pPr>
            <w:r w:rsidRPr="00A87815">
              <w:rPr>
                <w:rFonts w:ascii="Cambria" w:hAnsi="Cambria"/>
                <w:sz w:val="22"/>
                <w:szCs w:val="22"/>
              </w:rPr>
              <w:t>Regional Waste Plan Goals  </w:t>
            </w:r>
          </w:p>
        </w:tc>
        <w:tc>
          <w:tcPr>
            <w:tcW w:w="5030" w:type="dxa"/>
            <w:hideMark/>
          </w:tcPr>
          <w:p w:rsidR="00CA54F5" w:rsidRPr="00A87815" w:rsidRDefault="00CA54F5" w:rsidP="00354A55">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87815">
              <w:rPr>
                <w:rFonts w:ascii="Cambria" w:hAnsi="Cambria"/>
                <w:sz w:val="22"/>
                <w:szCs w:val="22"/>
              </w:rPr>
              <w:t>Criteria  </w:t>
            </w:r>
          </w:p>
        </w:tc>
      </w:tr>
      <w:tr w:rsidR="00CA54F5" w:rsidRPr="006D2118" w:rsidTr="00426028">
        <w:tc>
          <w:tcPr>
            <w:cnfStyle w:val="001000000000" w:firstRow="0" w:lastRow="0" w:firstColumn="1" w:lastColumn="0" w:oddVBand="0" w:evenVBand="0" w:oddHBand="0" w:evenHBand="0" w:firstRowFirstColumn="0" w:firstRowLastColumn="0" w:lastRowFirstColumn="0" w:lastRowLastColumn="0"/>
            <w:tcW w:w="4315" w:type="dxa"/>
            <w:hideMark/>
          </w:tcPr>
          <w:p w:rsidR="00CA54F5" w:rsidRPr="00F20E5D" w:rsidRDefault="00CA54F5" w:rsidP="00354A55">
            <w:pPr>
              <w:textAlignment w:val="baseline"/>
              <w:rPr>
                <w:rFonts w:ascii="Times New Roman" w:hAnsi="Times New Roman"/>
                <w:b w:val="0"/>
                <w:sz w:val="24"/>
                <w:szCs w:val="24"/>
              </w:rPr>
            </w:pPr>
            <w:r w:rsidRPr="00F95A79">
              <w:rPr>
                <w:rFonts w:ascii="Cambria" w:hAnsi="Cambria"/>
                <w:sz w:val="22"/>
                <w:szCs w:val="22"/>
              </w:rPr>
              <w:t>Goal 3.0 Living Wages and Good Benefits</w:t>
            </w:r>
            <w:r w:rsidRPr="00F20E5D">
              <w:rPr>
                <w:rFonts w:ascii="Cambria" w:hAnsi="Cambria"/>
                <w:b w:val="0"/>
                <w:sz w:val="22"/>
                <w:szCs w:val="22"/>
              </w:rPr>
              <w:t xml:space="preserve"> | Ensure that all jobs in the garbage and recycling industry pay living</w:t>
            </w:r>
            <w:r w:rsidR="00F131DD">
              <w:rPr>
                <w:rFonts w:ascii="Cambria" w:hAnsi="Cambria"/>
                <w:b w:val="0"/>
                <w:sz w:val="22"/>
                <w:szCs w:val="22"/>
              </w:rPr>
              <w:t xml:space="preserve"> wages and include good benefits.</w:t>
            </w:r>
          </w:p>
          <w:p w:rsidR="00CA54F5" w:rsidRPr="00F20E5D" w:rsidRDefault="00CA54F5" w:rsidP="00354A55">
            <w:pPr>
              <w:textAlignment w:val="baseline"/>
              <w:rPr>
                <w:rFonts w:ascii="Times New Roman" w:hAnsi="Times New Roman"/>
                <w:b w:val="0"/>
                <w:sz w:val="24"/>
                <w:szCs w:val="24"/>
              </w:rPr>
            </w:pPr>
            <w:r w:rsidRPr="00F20E5D">
              <w:rPr>
                <w:rFonts w:ascii="Times New Roman" w:hAnsi="Times New Roman"/>
                <w:b w:val="0"/>
                <w:sz w:val="22"/>
                <w:szCs w:val="22"/>
              </w:rPr>
              <w:t> </w:t>
            </w:r>
          </w:p>
        </w:tc>
        <w:tc>
          <w:tcPr>
            <w:tcW w:w="5030" w:type="dxa"/>
            <w:hideMark/>
          </w:tcPr>
          <w:p w:rsidR="00CA54F5" w:rsidRPr="00061620" w:rsidRDefault="00061620" w:rsidP="00466AE4">
            <w:pPr>
              <w:numPr>
                <w:ilvl w:val="0"/>
                <w:numId w:val="28"/>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061620">
              <w:rPr>
                <w:rFonts w:ascii="Cambria" w:hAnsi="Cambria"/>
                <w:sz w:val="22"/>
                <w:szCs w:val="22"/>
              </w:rPr>
              <w:t>Wages for entry-level industry positions match or exceed Metro’s in-house and contracted lowest wage for</w:t>
            </w:r>
            <w:r>
              <w:rPr>
                <w:rFonts w:ascii="Cambria" w:hAnsi="Cambria"/>
                <w:sz w:val="22"/>
                <w:szCs w:val="22"/>
              </w:rPr>
              <w:t xml:space="preserve"> entry-level industry positions, </w:t>
            </w:r>
            <w:r w:rsidR="00F131DD" w:rsidRPr="00061620">
              <w:rPr>
                <w:rFonts w:ascii="Cambria" w:hAnsi="Cambria"/>
                <w:sz w:val="22"/>
                <w:szCs w:val="22"/>
              </w:rPr>
              <w:t xml:space="preserve">currently approximately $17.50 per </w:t>
            </w:r>
            <w:r w:rsidR="00CA54F5" w:rsidRPr="00061620">
              <w:rPr>
                <w:rFonts w:ascii="Cambria" w:hAnsi="Cambria"/>
                <w:sz w:val="22"/>
                <w:szCs w:val="22"/>
              </w:rPr>
              <w:t>hour</w:t>
            </w:r>
            <w:r w:rsidR="00F131DD" w:rsidRPr="00061620">
              <w:rPr>
                <w:rFonts w:ascii="Cambria" w:hAnsi="Cambria"/>
                <w:sz w:val="22"/>
                <w:szCs w:val="22"/>
              </w:rPr>
              <w:t xml:space="preserve"> and $15.00 per hour for staff contracted through temporary staffing agencies</w:t>
            </w:r>
            <w:r w:rsidR="00CA54F5" w:rsidRPr="00061620">
              <w:rPr>
                <w:rFonts w:ascii="Cambria" w:hAnsi="Cambria"/>
                <w:sz w:val="22"/>
                <w:szCs w:val="22"/>
              </w:rPr>
              <w:t>. </w:t>
            </w:r>
          </w:p>
          <w:p w:rsidR="00CA54F5" w:rsidRPr="006D2118" w:rsidRDefault="00CA54F5" w:rsidP="00F131DD">
            <w:pPr>
              <w:tabs>
                <w:tab w:val="num" w:pos="427"/>
              </w:tabs>
              <w:ind w:left="157"/>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2118">
              <w:rPr>
                <w:rFonts w:ascii="Cambria" w:hAnsi="Cambria"/>
                <w:sz w:val="22"/>
                <w:szCs w:val="22"/>
              </w:rPr>
              <w:t> </w:t>
            </w:r>
          </w:p>
        </w:tc>
      </w:tr>
      <w:tr w:rsidR="00CA54F5" w:rsidRPr="006D2118" w:rsidTr="00426028">
        <w:tc>
          <w:tcPr>
            <w:cnfStyle w:val="001000000000" w:firstRow="0" w:lastRow="0" w:firstColumn="1" w:lastColumn="0" w:oddVBand="0" w:evenVBand="0" w:oddHBand="0" w:evenHBand="0" w:firstRowFirstColumn="0" w:firstRowLastColumn="0" w:lastRowFirstColumn="0" w:lastRowLastColumn="0"/>
            <w:tcW w:w="4315" w:type="dxa"/>
            <w:hideMark/>
          </w:tcPr>
          <w:p w:rsidR="00CA54F5" w:rsidRPr="00F20E5D" w:rsidRDefault="00CA54F5" w:rsidP="00354A55">
            <w:pPr>
              <w:textAlignment w:val="baseline"/>
              <w:rPr>
                <w:rFonts w:ascii="Times New Roman" w:hAnsi="Times New Roman"/>
                <w:b w:val="0"/>
                <w:sz w:val="24"/>
                <w:szCs w:val="24"/>
              </w:rPr>
            </w:pPr>
            <w:r w:rsidRPr="00F95A79">
              <w:rPr>
                <w:rFonts w:ascii="Cambria" w:hAnsi="Cambria"/>
                <w:sz w:val="22"/>
                <w:szCs w:val="22"/>
              </w:rPr>
              <w:t>Goal 4.0 Increase Diversity in Workforce</w:t>
            </w:r>
            <w:r w:rsidRPr="00F20E5D">
              <w:rPr>
                <w:rFonts w:ascii="Cambria" w:hAnsi="Cambria"/>
                <w:b w:val="0"/>
                <w:sz w:val="22"/>
                <w:szCs w:val="22"/>
              </w:rPr>
              <w:t xml:space="preserve"> | Increase the diversity of the workforce in all occupations where people of color, women and other historically marginalized communities are underrepresented. </w:t>
            </w:r>
          </w:p>
          <w:p w:rsidR="00CA54F5" w:rsidRPr="00F20E5D" w:rsidRDefault="00CA54F5" w:rsidP="00354A55">
            <w:pPr>
              <w:textAlignment w:val="baseline"/>
              <w:rPr>
                <w:rFonts w:ascii="Times New Roman" w:hAnsi="Times New Roman"/>
                <w:b w:val="0"/>
                <w:sz w:val="24"/>
                <w:szCs w:val="24"/>
              </w:rPr>
            </w:pPr>
            <w:r w:rsidRPr="00F20E5D">
              <w:rPr>
                <w:rFonts w:ascii="Cambria" w:hAnsi="Cambria"/>
                <w:b w:val="0"/>
                <w:sz w:val="22"/>
                <w:szCs w:val="22"/>
              </w:rPr>
              <w:t> </w:t>
            </w:r>
          </w:p>
        </w:tc>
        <w:tc>
          <w:tcPr>
            <w:tcW w:w="5030" w:type="dxa"/>
            <w:hideMark/>
          </w:tcPr>
          <w:p w:rsidR="003A4220" w:rsidRDefault="00CA54F5" w:rsidP="003A4220">
            <w:pPr>
              <w:numPr>
                <w:ilvl w:val="0"/>
                <w:numId w:val="30"/>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D2118">
              <w:rPr>
                <w:rFonts w:ascii="Cambria" w:hAnsi="Cambria"/>
                <w:sz w:val="22"/>
                <w:szCs w:val="22"/>
              </w:rPr>
              <w:t>Provide workforce diversity data to Metro. </w:t>
            </w:r>
          </w:p>
          <w:p w:rsidR="00CA54F5" w:rsidRPr="003A4220" w:rsidRDefault="00CA54F5" w:rsidP="003A4220">
            <w:pPr>
              <w:ind w:left="72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3A4220">
              <w:rPr>
                <w:rFonts w:ascii="Cambria" w:hAnsi="Cambria" w:cs="Arial"/>
                <w:i/>
                <w:iCs/>
                <w:sz w:val="22"/>
                <w:szCs w:val="22"/>
              </w:rPr>
              <w:t>This data is useful to Metro for RWP indicator reporting and monitoring</w:t>
            </w:r>
            <w:r w:rsidR="00A87815" w:rsidRPr="003A4220">
              <w:rPr>
                <w:rFonts w:ascii="Cambria" w:hAnsi="Cambria" w:cs="Arial"/>
                <w:i/>
                <w:iCs/>
                <w:sz w:val="22"/>
                <w:szCs w:val="22"/>
              </w:rPr>
              <w:t xml:space="preserve"> and to inform a</w:t>
            </w:r>
            <w:r w:rsidRPr="003A4220">
              <w:rPr>
                <w:rFonts w:ascii="Cambria" w:hAnsi="Cambria" w:cs="Arial"/>
                <w:i/>
                <w:iCs/>
                <w:sz w:val="22"/>
                <w:szCs w:val="22"/>
              </w:rPr>
              <w:t xml:space="preserve"> variety of RWP Goal 4 actions.</w:t>
            </w:r>
            <w:r w:rsidRPr="003A4220">
              <w:rPr>
                <w:rFonts w:ascii="Cambria" w:hAnsi="Cambria" w:cs="Arial"/>
                <w:sz w:val="22"/>
                <w:szCs w:val="22"/>
              </w:rPr>
              <w:t> </w:t>
            </w:r>
          </w:p>
          <w:p w:rsidR="00CA54F5" w:rsidRPr="006D2118" w:rsidRDefault="00CA54F5" w:rsidP="00F20E5D">
            <w:pPr>
              <w:tabs>
                <w:tab w:val="num" w:pos="427"/>
              </w:tabs>
              <w:ind w:left="157"/>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D2118">
              <w:rPr>
                <w:rFonts w:ascii="Times New Roman" w:hAnsi="Times New Roman"/>
                <w:sz w:val="22"/>
                <w:szCs w:val="22"/>
              </w:rPr>
              <w:t> </w:t>
            </w:r>
          </w:p>
        </w:tc>
      </w:tr>
      <w:tr w:rsidR="00CA54F5" w:rsidRPr="006D2118" w:rsidTr="00426028">
        <w:tc>
          <w:tcPr>
            <w:cnfStyle w:val="001000000000" w:firstRow="0" w:lastRow="0" w:firstColumn="1" w:lastColumn="0" w:oddVBand="0" w:evenVBand="0" w:oddHBand="0" w:evenHBand="0" w:firstRowFirstColumn="0" w:firstRowLastColumn="0" w:lastRowFirstColumn="0" w:lastRowLastColumn="0"/>
            <w:tcW w:w="4315" w:type="dxa"/>
            <w:hideMark/>
          </w:tcPr>
          <w:p w:rsidR="00CA54F5" w:rsidRPr="00F20E5D" w:rsidRDefault="00CA54F5" w:rsidP="00354A55">
            <w:pPr>
              <w:textAlignment w:val="baseline"/>
              <w:rPr>
                <w:rFonts w:ascii="Times New Roman" w:hAnsi="Times New Roman"/>
                <w:b w:val="0"/>
                <w:sz w:val="24"/>
                <w:szCs w:val="24"/>
              </w:rPr>
            </w:pPr>
            <w:r w:rsidRPr="00F95A79">
              <w:rPr>
                <w:rFonts w:ascii="Cambria" w:hAnsi="Cambria"/>
                <w:sz w:val="22"/>
                <w:szCs w:val="22"/>
              </w:rPr>
              <w:t>Goal 12.0 Minimize Environmental Impacts</w:t>
            </w:r>
            <w:r w:rsidRPr="00F20E5D">
              <w:rPr>
                <w:rFonts w:ascii="Cambria" w:hAnsi="Cambria"/>
                <w:b w:val="0"/>
                <w:sz w:val="22"/>
                <w:szCs w:val="22"/>
              </w:rPr>
              <w:t xml:space="preserve"> | Manage all garbage and recycling operations to reduce their nuisance, safety and environmental impacts on workers and the public. </w:t>
            </w:r>
          </w:p>
          <w:p w:rsidR="00CA54F5" w:rsidRPr="00F20E5D" w:rsidRDefault="00CA54F5" w:rsidP="00354A55">
            <w:pPr>
              <w:textAlignment w:val="baseline"/>
              <w:rPr>
                <w:rFonts w:ascii="Times New Roman" w:hAnsi="Times New Roman"/>
                <w:b w:val="0"/>
                <w:sz w:val="24"/>
                <w:szCs w:val="24"/>
              </w:rPr>
            </w:pPr>
            <w:r w:rsidRPr="00F20E5D">
              <w:rPr>
                <w:rFonts w:ascii="Cambria" w:hAnsi="Cambria"/>
                <w:b w:val="0"/>
                <w:sz w:val="22"/>
                <w:szCs w:val="22"/>
              </w:rPr>
              <w:t> </w:t>
            </w:r>
          </w:p>
          <w:p w:rsidR="00CA54F5" w:rsidRPr="00F20E5D" w:rsidRDefault="00CA54F5" w:rsidP="00354A55">
            <w:pPr>
              <w:textAlignment w:val="baseline"/>
              <w:rPr>
                <w:rFonts w:ascii="Times New Roman" w:hAnsi="Times New Roman"/>
                <w:b w:val="0"/>
                <w:sz w:val="24"/>
                <w:szCs w:val="24"/>
              </w:rPr>
            </w:pPr>
            <w:r w:rsidRPr="00F20E5D">
              <w:rPr>
                <w:rFonts w:ascii="Times New Roman" w:hAnsi="Times New Roman"/>
                <w:b w:val="0"/>
                <w:sz w:val="22"/>
                <w:szCs w:val="22"/>
              </w:rPr>
              <w:t> </w:t>
            </w:r>
          </w:p>
        </w:tc>
        <w:tc>
          <w:tcPr>
            <w:tcW w:w="5030" w:type="dxa"/>
            <w:hideMark/>
          </w:tcPr>
          <w:p w:rsidR="00CA54F5" w:rsidRDefault="00061620" w:rsidP="00F20E5D">
            <w:pPr>
              <w:numPr>
                <w:ilvl w:val="0"/>
                <w:numId w:val="32"/>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Pr>
                <w:rFonts w:ascii="Cambria" w:hAnsi="Cambria"/>
                <w:sz w:val="22"/>
                <w:szCs w:val="22"/>
              </w:rPr>
              <w:t>Use low particulate and low greenhouse gas</w:t>
            </w:r>
            <w:r w:rsidR="00CA54F5" w:rsidRPr="006D2118">
              <w:rPr>
                <w:rFonts w:ascii="Cambria" w:hAnsi="Cambria"/>
                <w:sz w:val="22"/>
                <w:szCs w:val="22"/>
              </w:rPr>
              <w:t xml:space="preserve"> emission fuel</w:t>
            </w:r>
            <w:r>
              <w:rPr>
                <w:rFonts w:ascii="Cambria" w:hAnsi="Cambria"/>
                <w:sz w:val="22"/>
                <w:szCs w:val="22"/>
              </w:rPr>
              <w:t xml:space="preserve"> for rolling stock equipment at the transfer station</w:t>
            </w:r>
            <w:r w:rsidR="00CA54F5" w:rsidRPr="006D2118">
              <w:rPr>
                <w:rFonts w:ascii="Cambria" w:hAnsi="Cambria"/>
                <w:sz w:val="22"/>
                <w:szCs w:val="22"/>
              </w:rPr>
              <w:t>. </w:t>
            </w:r>
          </w:p>
          <w:p w:rsidR="006D76DC" w:rsidRPr="006D2118" w:rsidRDefault="006D76DC" w:rsidP="00F20E5D">
            <w:pPr>
              <w:tabs>
                <w:tab w:val="num" w:pos="427"/>
              </w:tabs>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p w:rsidR="00CA54F5" w:rsidRDefault="003C7FD1" w:rsidP="003A4220">
            <w:pPr>
              <w:tabs>
                <w:tab w:val="num" w:pos="427"/>
              </w:tabs>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Pr>
                <w:rFonts w:ascii="Cambria" w:hAnsi="Cambria"/>
                <w:i/>
                <w:iCs/>
                <w:sz w:val="22"/>
                <w:szCs w:val="22"/>
              </w:rPr>
              <w:t>OR ​</w:t>
            </w:r>
          </w:p>
          <w:p w:rsidR="006D76DC" w:rsidRPr="006D2118" w:rsidRDefault="006D76DC" w:rsidP="00F20E5D">
            <w:pPr>
              <w:tabs>
                <w:tab w:val="num" w:pos="427"/>
              </w:tabs>
              <w:ind w:left="157" w:firstLine="36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CA54F5" w:rsidRDefault="00061620" w:rsidP="00F20E5D">
            <w:pPr>
              <w:numPr>
                <w:ilvl w:val="0"/>
                <w:numId w:val="33"/>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Pr>
                <w:rFonts w:ascii="Cambria" w:hAnsi="Cambria"/>
                <w:sz w:val="22"/>
                <w:szCs w:val="22"/>
              </w:rPr>
              <w:t xml:space="preserve">Use </w:t>
            </w:r>
            <w:r w:rsidR="00CA54F5" w:rsidRPr="006D2118">
              <w:rPr>
                <w:rFonts w:ascii="Cambria" w:hAnsi="Cambria"/>
                <w:sz w:val="22"/>
                <w:szCs w:val="22"/>
              </w:rPr>
              <w:t>R99</w:t>
            </w:r>
            <w:r>
              <w:rPr>
                <w:rFonts w:ascii="Cambria" w:hAnsi="Cambria"/>
                <w:sz w:val="22"/>
                <w:szCs w:val="22"/>
              </w:rPr>
              <w:t xml:space="preserve"> or qualifying</w:t>
            </w:r>
            <w:r w:rsidR="00CA54F5" w:rsidRPr="006D2118">
              <w:rPr>
                <w:rFonts w:ascii="Cambria" w:hAnsi="Cambria"/>
                <w:sz w:val="22"/>
                <w:szCs w:val="22"/>
              </w:rPr>
              <w:t xml:space="preserve"> renewable diesel</w:t>
            </w:r>
            <w:r>
              <w:rPr>
                <w:rFonts w:ascii="Cambria" w:hAnsi="Cambria"/>
                <w:sz w:val="22"/>
                <w:szCs w:val="22"/>
              </w:rPr>
              <w:t xml:space="preserve"> for long-haul transport</w:t>
            </w:r>
            <w:r w:rsidR="00CA54F5" w:rsidRPr="006D2118">
              <w:rPr>
                <w:rFonts w:ascii="Cambria" w:hAnsi="Cambria"/>
                <w:sz w:val="22"/>
                <w:szCs w:val="22"/>
              </w:rPr>
              <w:t>. </w:t>
            </w:r>
          </w:p>
          <w:p w:rsidR="00061620" w:rsidRDefault="00061620"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i/>
                <w:iCs/>
                <w:sz w:val="22"/>
                <w:szCs w:val="22"/>
              </w:rPr>
            </w:pPr>
            <w:r>
              <w:rPr>
                <w:rFonts w:ascii="Cambria" w:hAnsi="Cambria"/>
                <w:i/>
                <w:iCs/>
                <w:sz w:val="22"/>
                <w:szCs w:val="22"/>
              </w:rPr>
              <w:br/>
            </w:r>
            <w:r w:rsidRPr="00061620">
              <w:rPr>
                <w:rFonts w:ascii="Cambria" w:hAnsi="Cambria"/>
                <w:i/>
                <w:iCs/>
                <w:sz w:val="22"/>
                <w:szCs w:val="22"/>
              </w:rPr>
              <w:t>OR </w:t>
            </w:r>
          </w:p>
          <w:p w:rsidR="003C7FD1" w:rsidRPr="00061620" w:rsidRDefault="003C7FD1"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p w:rsidR="00CA54F5" w:rsidRPr="00061620" w:rsidRDefault="00061620" w:rsidP="00061620">
            <w:pPr>
              <w:numPr>
                <w:ilvl w:val="0"/>
                <w:numId w:val="33"/>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1620">
              <w:rPr>
                <w:rFonts w:ascii="Cambria" w:hAnsi="Cambria"/>
                <w:sz w:val="22"/>
                <w:szCs w:val="22"/>
              </w:rPr>
              <w:t>Use non-road equipment with Tier 4 engines or retrofitted with an Emission Control Device.</w:t>
            </w:r>
          </w:p>
          <w:p w:rsidR="00061620" w:rsidRPr="006D2118" w:rsidRDefault="00061620"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CA54F5" w:rsidRPr="006D2118" w:rsidTr="00426028">
        <w:tc>
          <w:tcPr>
            <w:cnfStyle w:val="001000000000" w:firstRow="0" w:lastRow="0" w:firstColumn="1" w:lastColumn="0" w:oddVBand="0" w:evenVBand="0" w:oddHBand="0" w:evenHBand="0" w:firstRowFirstColumn="0" w:firstRowLastColumn="0" w:lastRowFirstColumn="0" w:lastRowLastColumn="0"/>
            <w:tcW w:w="4315" w:type="dxa"/>
            <w:hideMark/>
          </w:tcPr>
          <w:p w:rsidR="00CA54F5" w:rsidRPr="00F95A79" w:rsidRDefault="00CA54F5" w:rsidP="00354A55">
            <w:pPr>
              <w:textAlignment w:val="baseline"/>
              <w:rPr>
                <w:rFonts w:ascii="Cambria" w:hAnsi="Cambria"/>
                <w:b w:val="0"/>
                <w:sz w:val="22"/>
                <w:szCs w:val="22"/>
              </w:rPr>
            </w:pPr>
            <w:r w:rsidRPr="00F95A79">
              <w:rPr>
                <w:rFonts w:ascii="Cambria" w:hAnsi="Cambria"/>
                <w:sz w:val="22"/>
                <w:szCs w:val="22"/>
              </w:rPr>
              <w:t>Goal 13: Invest in Communities</w:t>
            </w:r>
            <w:r w:rsidR="00F95A79">
              <w:rPr>
                <w:rFonts w:ascii="Cambria" w:hAnsi="Cambria"/>
                <w:sz w:val="22"/>
                <w:szCs w:val="22"/>
              </w:rPr>
              <w:t xml:space="preserve"> </w:t>
            </w:r>
            <w:r w:rsidRPr="00F20E5D">
              <w:rPr>
                <w:rFonts w:ascii="Cambria" w:hAnsi="Cambria"/>
                <w:b w:val="0"/>
                <w:sz w:val="22"/>
                <w:szCs w:val="22"/>
              </w:rPr>
              <w:t>| Invest in communities that receive garbage and recyclables from the Metro region so that those communities regard solid waste facilities as assets. </w:t>
            </w:r>
          </w:p>
        </w:tc>
        <w:tc>
          <w:tcPr>
            <w:tcW w:w="5030" w:type="dxa"/>
            <w:hideMark/>
          </w:tcPr>
          <w:p w:rsidR="00061620" w:rsidRPr="00061620" w:rsidRDefault="00061620" w:rsidP="00061620">
            <w:pPr>
              <w:numPr>
                <w:ilvl w:val="0"/>
                <w:numId w:val="34"/>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061620">
              <w:rPr>
                <w:rFonts w:ascii="Cambria" w:hAnsi="Cambria"/>
                <w:sz w:val="22"/>
                <w:szCs w:val="22"/>
              </w:rPr>
              <w:t>Collect supplemental community investment fee for wet waste.</w:t>
            </w:r>
          </w:p>
          <w:p w:rsidR="00061620" w:rsidRDefault="00061620"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i/>
                <w:iCs/>
                <w:sz w:val="22"/>
                <w:szCs w:val="22"/>
              </w:rPr>
            </w:pPr>
          </w:p>
          <w:p w:rsidR="00061620" w:rsidRDefault="00061620"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i/>
                <w:iCs/>
                <w:sz w:val="22"/>
                <w:szCs w:val="22"/>
              </w:rPr>
            </w:pPr>
            <w:r>
              <w:rPr>
                <w:rFonts w:ascii="Cambria" w:hAnsi="Cambria"/>
                <w:i/>
                <w:iCs/>
                <w:sz w:val="22"/>
                <w:szCs w:val="22"/>
              </w:rPr>
              <w:t>OR</w:t>
            </w:r>
          </w:p>
          <w:p w:rsidR="00061620" w:rsidRPr="00061620" w:rsidRDefault="00061620"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p w:rsidR="00CA54F5" w:rsidRPr="00061620" w:rsidRDefault="00061620" w:rsidP="00061620">
            <w:pPr>
              <w:numPr>
                <w:ilvl w:val="0"/>
                <w:numId w:val="34"/>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1620">
              <w:rPr>
                <w:rFonts w:ascii="Cambria" w:hAnsi="Cambria"/>
                <w:sz w:val="22"/>
                <w:szCs w:val="22"/>
              </w:rPr>
              <w:t>Collect community investment fee for materials other than wet waste.</w:t>
            </w:r>
          </w:p>
          <w:p w:rsidR="00061620" w:rsidRPr="006D2118" w:rsidRDefault="00061620" w:rsidP="00061620">
            <w:pPr>
              <w:ind w:left="157"/>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CA54F5" w:rsidRPr="006D2118" w:rsidTr="00426028">
        <w:tc>
          <w:tcPr>
            <w:cnfStyle w:val="001000000000" w:firstRow="0" w:lastRow="0" w:firstColumn="1" w:lastColumn="0" w:oddVBand="0" w:evenVBand="0" w:oddHBand="0" w:evenHBand="0" w:firstRowFirstColumn="0" w:firstRowLastColumn="0" w:lastRowFirstColumn="0" w:lastRowLastColumn="0"/>
            <w:tcW w:w="4315" w:type="dxa"/>
            <w:hideMark/>
          </w:tcPr>
          <w:p w:rsidR="00A87815" w:rsidRPr="00426028" w:rsidRDefault="00987C7E" w:rsidP="00987C7E">
            <w:pPr>
              <w:textAlignment w:val="baseline"/>
              <w:rPr>
                <w:rFonts w:ascii="Cambria" w:hAnsi="Cambria"/>
                <w:b w:val="0"/>
                <w:sz w:val="22"/>
                <w:szCs w:val="22"/>
              </w:rPr>
            </w:pPr>
            <w:r w:rsidRPr="00F95A79">
              <w:rPr>
                <w:rFonts w:ascii="Cambria" w:hAnsi="Cambria"/>
                <w:sz w:val="22"/>
                <w:szCs w:val="22"/>
              </w:rPr>
              <w:t>Goal 14</w:t>
            </w:r>
            <w:r w:rsidR="00CA54F5" w:rsidRPr="00F95A79">
              <w:rPr>
                <w:rFonts w:ascii="Cambria" w:hAnsi="Cambria"/>
                <w:sz w:val="22"/>
                <w:szCs w:val="22"/>
              </w:rPr>
              <w:t>: Affordable and Consistent Rates</w:t>
            </w:r>
            <w:r w:rsidR="00CA54F5" w:rsidRPr="00F20E5D">
              <w:rPr>
                <w:rFonts w:ascii="Cambria" w:hAnsi="Cambria"/>
                <w:b w:val="0"/>
                <w:sz w:val="22"/>
                <w:szCs w:val="22"/>
              </w:rPr>
              <w:t xml:space="preserve"> |</w:t>
            </w:r>
            <w:r w:rsidR="00CA54F5" w:rsidRPr="00F20E5D">
              <w:rPr>
                <w:rFonts w:ascii="Cambria" w:hAnsi="Cambria"/>
                <w:b w:val="0"/>
                <w:i/>
                <w:iCs/>
                <w:sz w:val="22"/>
                <w:szCs w:val="22"/>
              </w:rPr>
              <w:t> </w:t>
            </w:r>
            <w:r w:rsidR="00CA54F5" w:rsidRPr="00F20E5D">
              <w:rPr>
                <w:rFonts w:ascii="Cambria" w:hAnsi="Cambria"/>
                <w:b w:val="0"/>
                <w:sz w:val="22"/>
                <w:szCs w:val="22"/>
              </w:rPr>
              <w:t>Adopt rates for all services that are reasonable, responsive to user economic needs, regionally consistent and well understood. </w:t>
            </w:r>
          </w:p>
        </w:tc>
        <w:tc>
          <w:tcPr>
            <w:tcW w:w="5030" w:type="dxa"/>
            <w:hideMark/>
          </w:tcPr>
          <w:p w:rsidR="00CA54F5" w:rsidRPr="003A4220" w:rsidRDefault="00CA54F5" w:rsidP="003A4220">
            <w:pPr>
              <w:numPr>
                <w:ilvl w:val="0"/>
                <w:numId w:val="35"/>
              </w:numPr>
              <w:tabs>
                <w:tab w:val="clear" w:pos="720"/>
                <w:tab w:val="num" w:pos="427"/>
              </w:tabs>
              <w:ind w:left="157" w:firstLine="0"/>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D2118">
              <w:rPr>
                <w:rFonts w:ascii="Cambria" w:hAnsi="Cambria"/>
                <w:sz w:val="22"/>
                <w:szCs w:val="22"/>
              </w:rPr>
              <w:t>Total charge per t</w:t>
            </w:r>
            <w:r w:rsidR="003A4220">
              <w:rPr>
                <w:rFonts w:ascii="Cambria" w:hAnsi="Cambria"/>
                <w:sz w:val="22"/>
                <w:szCs w:val="22"/>
              </w:rPr>
              <w:t>on (inclusive of all fees) is no more than</w:t>
            </w:r>
            <w:r w:rsidR="00F56AFD">
              <w:rPr>
                <w:rFonts w:ascii="Cambria" w:hAnsi="Cambria"/>
                <w:sz w:val="22"/>
                <w:szCs w:val="22"/>
              </w:rPr>
              <w:t xml:space="preserve"> </w:t>
            </w:r>
            <w:r w:rsidR="003A4220">
              <w:rPr>
                <w:rFonts w:ascii="Cambria" w:hAnsi="Cambria"/>
                <w:sz w:val="22"/>
                <w:szCs w:val="22"/>
              </w:rPr>
              <w:t xml:space="preserve">5 percent over </w:t>
            </w:r>
            <w:r w:rsidR="00F56AFD">
              <w:rPr>
                <w:rFonts w:ascii="Cambria" w:hAnsi="Cambria"/>
                <w:sz w:val="22"/>
                <w:szCs w:val="22"/>
              </w:rPr>
              <w:t>Metro’s Solid Waste fee at public stations</w:t>
            </w:r>
            <w:r w:rsidRPr="006D2118">
              <w:rPr>
                <w:rFonts w:ascii="Cambria" w:hAnsi="Cambria"/>
                <w:sz w:val="22"/>
                <w:szCs w:val="22"/>
              </w:rPr>
              <w:t>. </w:t>
            </w:r>
          </w:p>
        </w:tc>
      </w:tr>
    </w:tbl>
    <w:p w:rsidR="00EA6B6B" w:rsidRDefault="00EA6B6B" w:rsidP="0096084C">
      <w:pPr>
        <w:pStyle w:val="Heading1"/>
        <w:rPr>
          <w:rFonts w:asciiTheme="majorHAnsi" w:hAnsiTheme="majorHAnsi"/>
          <w:b w:val="0"/>
          <w:sz w:val="24"/>
          <w:szCs w:val="24"/>
        </w:rPr>
      </w:pPr>
    </w:p>
    <w:p w:rsidR="00EA6B6B" w:rsidRDefault="00EA6B6B">
      <w:pPr>
        <w:rPr>
          <w:rFonts w:asciiTheme="majorHAnsi" w:hAnsiTheme="majorHAnsi"/>
          <w:sz w:val="24"/>
          <w:szCs w:val="24"/>
        </w:rPr>
      </w:pPr>
      <w:r>
        <w:rPr>
          <w:rFonts w:asciiTheme="majorHAnsi" w:hAnsiTheme="majorHAnsi"/>
          <w:b/>
          <w:sz w:val="24"/>
          <w:szCs w:val="24"/>
        </w:rPr>
        <w:br w:type="page"/>
      </w:r>
    </w:p>
    <w:p w:rsidR="0096084C" w:rsidRDefault="0096084C" w:rsidP="0096084C">
      <w:pPr>
        <w:pStyle w:val="Heading1"/>
        <w:rPr>
          <w:rFonts w:ascii="Cambria" w:hAnsi="Cambria"/>
          <w:sz w:val="24"/>
          <w:szCs w:val="24"/>
        </w:rPr>
      </w:pPr>
      <w:bookmarkStart w:id="0" w:name="_GoBack"/>
      <w:bookmarkEnd w:id="0"/>
      <w:r>
        <w:rPr>
          <w:rFonts w:ascii="Cambria" w:hAnsi="Cambria"/>
          <w:sz w:val="24"/>
          <w:szCs w:val="24"/>
        </w:rPr>
        <w:lastRenderedPageBreak/>
        <w:t>Industry feedback</w:t>
      </w:r>
    </w:p>
    <w:p w:rsidR="0096084C" w:rsidRPr="00DE77DB" w:rsidRDefault="0096084C" w:rsidP="00DE77DB">
      <w:pPr>
        <w:pStyle w:val="Heading1"/>
        <w:rPr>
          <w:rFonts w:asciiTheme="majorHAnsi" w:hAnsiTheme="majorHAnsi"/>
          <w:b w:val="0"/>
          <w:sz w:val="24"/>
          <w:szCs w:val="24"/>
        </w:rPr>
      </w:pPr>
      <w:r>
        <w:rPr>
          <w:rFonts w:asciiTheme="majorHAnsi" w:hAnsiTheme="majorHAnsi"/>
          <w:b w:val="0"/>
          <w:sz w:val="24"/>
          <w:szCs w:val="24"/>
        </w:rPr>
        <w:t>C</w:t>
      </w:r>
      <w:r w:rsidRPr="2B91B0A4">
        <w:rPr>
          <w:rFonts w:asciiTheme="majorHAnsi" w:hAnsiTheme="majorHAnsi"/>
          <w:b w:val="0"/>
          <w:sz w:val="24"/>
          <w:szCs w:val="24"/>
        </w:rPr>
        <w:t xml:space="preserve">omments from transfer station operators </w:t>
      </w:r>
      <w:r>
        <w:rPr>
          <w:rFonts w:asciiTheme="majorHAnsi" w:hAnsiTheme="majorHAnsi"/>
          <w:b w:val="0"/>
          <w:sz w:val="24"/>
          <w:szCs w:val="24"/>
        </w:rPr>
        <w:t xml:space="preserve">have </w:t>
      </w:r>
      <w:r w:rsidRPr="2B91B0A4">
        <w:rPr>
          <w:rFonts w:asciiTheme="majorHAnsi" w:hAnsiTheme="majorHAnsi"/>
          <w:b w:val="0"/>
          <w:sz w:val="24"/>
          <w:szCs w:val="24"/>
        </w:rPr>
        <w:t>centered on costs</w:t>
      </w:r>
      <w:r>
        <w:rPr>
          <w:rFonts w:asciiTheme="majorHAnsi" w:hAnsiTheme="majorHAnsi"/>
          <w:b w:val="0"/>
          <w:sz w:val="24"/>
          <w:szCs w:val="24"/>
        </w:rPr>
        <w:t>, timing of investments</w:t>
      </w:r>
      <w:r w:rsidRPr="2B91B0A4">
        <w:rPr>
          <w:rFonts w:asciiTheme="majorHAnsi" w:hAnsiTheme="majorHAnsi"/>
          <w:b w:val="0"/>
          <w:sz w:val="24"/>
          <w:szCs w:val="24"/>
        </w:rPr>
        <w:t>, system stability and predictability.  The following themes</w:t>
      </w:r>
      <w:r>
        <w:rPr>
          <w:rFonts w:asciiTheme="majorHAnsi" w:hAnsiTheme="majorHAnsi"/>
          <w:b w:val="0"/>
          <w:sz w:val="24"/>
          <w:szCs w:val="24"/>
        </w:rPr>
        <w:t xml:space="preserve"> have emerged in industry feedback</w:t>
      </w:r>
      <w:r w:rsidR="00DE77DB">
        <w:rPr>
          <w:rFonts w:asciiTheme="majorHAnsi" w:hAnsiTheme="majorHAnsi"/>
          <w:b w:val="0"/>
          <w:sz w:val="24"/>
          <w:szCs w:val="24"/>
        </w:rPr>
        <w:t>, and a brief response from Metro follows each below.</w:t>
      </w:r>
    </w:p>
    <w:p w:rsidR="0096084C" w:rsidRPr="005E6256" w:rsidRDefault="0096084C" w:rsidP="0096084C">
      <w:pPr>
        <w:rPr>
          <w:sz w:val="24"/>
          <w:szCs w:val="24"/>
        </w:rPr>
      </w:pPr>
    </w:p>
    <w:p w:rsidR="0096084C" w:rsidRDefault="0096084C" w:rsidP="0075272E">
      <w:pPr>
        <w:pStyle w:val="ListParagraph"/>
        <w:numPr>
          <w:ilvl w:val="0"/>
          <w:numId w:val="37"/>
        </w:numPr>
        <w:ind w:left="360"/>
        <w:rPr>
          <w:rFonts w:asciiTheme="majorHAnsi" w:hAnsiTheme="majorHAnsi"/>
          <w:sz w:val="24"/>
          <w:szCs w:val="24"/>
        </w:rPr>
      </w:pPr>
      <w:r w:rsidRPr="031AAFEE">
        <w:rPr>
          <w:rFonts w:asciiTheme="majorHAnsi" w:hAnsiTheme="majorHAnsi"/>
          <w:sz w:val="24"/>
          <w:szCs w:val="24"/>
        </w:rPr>
        <w:t>Goals-based allocations and implementation approaches</w:t>
      </w:r>
    </w:p>
    <w:p w:rsidR="0096084C" w:rsidRDefault="0096084C" w:rsidP="0075272E">
      <w:pPr>
        <w:pStyle w:val="ListParagraph"/>
        <w:numPr>
          <w:ilvl w:val="2"/>
          <w:numId w:val="37"/>
        </w:numPr>
        <w:ind w:left="1080" w:hanging="360"/>
        <w:rPr>
          <w:rFonts w:asciiTheme="majorHAnsi" w:hAnsiTheme="majorHAnsi"/>
          <w:sz w:val="24"/>
          <w:szCs w:val="24"/>
        </w:rPr>
      </w:pPr>
      <w:r>
        <w:rPr>
          <w:rFonts w:asciiTheme="majorHAnsi" w:hAnsiTheme="majorHAnsi"/>
          <w:sz w:val="24"/>
          <w:szCs w:val="24"/>
        </w:rPr>
        <w:t>Transfer station i</w:t>
      </w:r>
      <w:r w:rsidRPr="2B91B0A4">
        <w:rPr>
          <w:rFonts w:asciiTheme="majorHAnsi" w:hAnsiTheme="majorHAnsi"/>
          <w:sz w:val="24"/>
          <w:szCs w:val="24"/>
        </w:rPr>
        <w:t>nvestments required to meet these goals will increase costs which will be passed down and ultimately raise residential and commercial rates.</w:t>
      </w:r>
    </w:p>
    <w:p w:rsidR="0096084C" w:rsidRDefault="0075272E" w:rsidP="0075272E">
      <w:pPr>
        <w:pStyle w:val="ListParagraph"/>
        <w:numPr>
          <w:ilvl w:val="2"/>
          <w:numId w:val="37"/>
        </w:numPr>
        <w:ind w:left="1080" w:hanging="360"/>
        <w:rPr>
          <w:rFonts w:asciiTheme="majorHAnsi" w:hAnsiTheme="majorHAnsi"/>
          <w:sz w:val="24"/>
          <w:szCs w:val="24"/>
        </w:rPr>
      </w:pPr>
      <w:r>
        <w:rPr>
          <w:rFonts w:asciiTheme="majorHAnsi" w:hAnsiTheme="majorHAnsi"/>
          <w:sz w:val="24"/>
          <w:szCs w:val="24"/>
        </w:rPr>
        <w:t>The goals-based approach</w:t>
      </w:r>
      <w:r w:rsidR="0096084C" w:rsidRPr="2B91B0A4">
        <w:rPr>
          <w:rFonts w:asciiTheme="majorHAnsi" w:hAnsiTheme="majorHAnsi"/>
          <w:sz w:val="24"/>
          <w:szCs w:val="24"/>
        </w:rPr>
        <w:t xml:space="preserve"> may result in wet waste traveling to a transfer station other than the closest one.  This </w:t>
      </w:r>
      <w:r w:rsidR="0096084C">
        <w:rPr>
          <w:rFonts w:asciiTheme="majorHAnsi" w:hAnsiTheme="majorHAnsi"/>
          <w:sz w:val="24"/>
          <w:szCs w:val="24"/>
        </w:rPr>
        <w:t xml:space="preserve">may </w:t>
      </w:r>
      <w:r w:rsidR="0096084C" w:rsidRPr="2B91B0A4">
        <w:rPr>
          <w:rFonts w:asciiTheme="majorHAnsi" w:hAnsiTheme="majorHAnsi"/>
          <w:sz w:val="24"/>
          <w:szCs w:val="24"/>
        </w:rPr>
        <w:t>reduce system efficiency and increase greenhouse gas and particulate emissions relative to going to the closest facility.</w:t>
      </w:r>
    </w:p>
    <w:p w:rsidR="0096084C" w:rsidRDefault="0096084C" w:rsidP="0075272E">
      <w:pPr>
        <w:pStyle w:val="ListParagraph"/>
        <w:numPr>
          <w:ilvl w:val="2"/>
          <w:numId w:val="37"/>
        </w:numPr>
        <w:ind w:left="1080" w:hanging="360"/>
        <w:rPr>
          <w:rFonts w:asciiTheme="majorHAnsi" w:hAnsiTheme="majorHAnsi"/>
          <w:sz w:val="24"/>
          <w:szCs w:val="24"/>
        </w:rPr>
      </w:pPr>
      <w:r>
        <w:rPr>
          <w:rFonts w:asciiTheme="majorHAnsi" w:hAnsiTheme="majorHAnsi"/>
          <w:sz w:val="24"/>
          <w:szCs w:val="24"/>
        </w:rPr>
        <w:t>Because each transfer station is unique, some criteria may adversely impact select transfer stations, smaller companies, etc.</w:t>
      </w:r>
    </w:p>
    <w:p w:rsidR="0096084C" w:rsidRPr="00873EF6" w:rsidRDefault="0096084C" w:rsidP="0075272E">
      <w:pPr>
        <w:pStyle w:val="ListParagraph"/>
        <w:numPr>
          <w:ilvl w:val="2"/>
          <w:numId w:val="37"/>
        </w:numPr>
        <w:ind w:left="1080" w:hanging="360"/>
        <w:rPr>
          <w:sz w:val="24"/>
          <w:szCs w:val="24"/>
        </w:rPr>
      </w:pPr>
      <w:r w:rsidRPr="2B91B0A4">
        <w:rPr>
          <w:rFonts w:asciiTheme="majorHAnsi" w:hAnsiTheme="majorHAnsi"/>
          <w:sz w:val="24"/>
          <w:szCs w:val="24"/>
        </w:rPr>
        <w:t>Metro should establish longer time horizons for setting and allocating tonnage to allow for long-term facility planning and investment.</w:t>
      </w:r>
    </w:p>
    <w:p w:rsidR="0096084C" w:rsidRDefault="0096084C" w:rsidP="0075272E">
      <w:pPr>
        <w:rPr>
          <w:rFonts w:asciiTheme="majorHAnsi" w:hAnsiTheme="majorHAnsi"/>
          <w:sz w:val="24"/>
          <w:szCs w:val="24"/>
        </w:rPr>
      </w:pPr>
    </w:p>
    <w:p w:rsidR="0096084C" w:rsidRDefault="0096084C" w:rsidP="0075272E">
      <w:pPr>
        <w:ind w:left="360"/>
        <w:rPr>
          <w:rFonts w:asciiTheme="majorHAnsi" w:hAnsiTheme="majorHAnsi"/>
          <w:i/>
          <w:sz w:val="24"/>
          <w:szCs w:val="24"/>
        </w:rPr>
      </w:pPr>
      <w:r>
        <w:rPr>
          <w:rFonts w:asciiTheme="majorHAnsi" w:hAnsiTheme="majorHAnsi"/>
          <w:i/>
          <w:sz w:val="24"/>
          <w:szCs w:val="24"/>
        </w:rPr>
        <w:t xml:space="preserve">Metro perspective: </w:t>
      </w:r>
    </w:p>
    <w:p w:rsidR="0096084C" w:rsidRDefault="0096084C" w:rsidP="0075272E">
      <w:pPr>
        <w:ind w:left="360"/>
        <w:rPr>
          <w:rFonts w:asciiTheme="majorHAnsi" w:hAnsiTheme="majorHAnsi"/>
          <w:i/>
          <w:sz w:val="24"/>
          <w:szCs w:val="24"/>
        </w:rPr>
      </w:pPr>
      <w:r>
        <w:rPr>
          <w:rFonts w:asciiTheme="majorHAnsi" w:hAnsiTheme="majorHAnsi"/>
          <w:i/>
          <w:sz w:val="24"/>
          <w:szCs w:val="24"/>
        </w:rPr>
        <w:t xml:space="preserve">Achieving regional goals will require investment and costs. Goals are interdependent, and progress toward multiple goals may create inherent tensions but is of greater public service than maximizing progress toward any single goal. </w:t>
      </w:r>
    </w:p>
    <w:p w:rsidR="0096084C" w:rsidRDefault="0096084C" w:rsidP="0075272E">
      <w:pPr>
        <w:ind w:left="360"/>
        <w:rPr>
          <w:rFonts w:asciiTheme="majorHAnsi" w:hAnsiTheme="majorHAnsi"/>
          <w:i/>
          <w:sz w:val="24"/>
          <w:szCs w:val="24"/>
        </w:rPr>
      </w:pPr>
    </w:p>
    <w:p w:rsidR="0096084C" w:rsidRPr="00AA6E9D" w:rsidRDefault="00DE77DB" w:rsidP="0075272E">
      <w:pPr>
        <w:ind w:left="360"/>
        <w:rPr>
          <w:rFonts w:asciiTheme="majorHAnsi" w:hAnsiTheme="majorHAnsi"/>
          <w:i/>
          <w:sz w:val="24"/>
          <w:szCs w:val="24"/>
        </w:rPr>
      </w:pPr>
      <w:r>
        <w:rPr>
          <w:rFonts w:asciiTheme="majorHAnsi" w:hAnsiTheme="majorHAnsi"/>
          <w:i/>
          <w:sz w:val="24"/>
          <w:szCs w:val="24"/>
        </w:rPr>
        <w:t>Wet</w:t>
      </w:r>
      <w:r w:rsidR="0096084C">
        <w:rPr>
          <w:rFonts w:asciiTheme="majorHAnsi" w:hAnsiTheme="majorHAnsi"/>
          <w:i/>
          <w:sz w:val="24"/>
          <w:szCs w:val="24"/>
        </w:rPr>
        <w:t xml:space="preserve"> waste does not now completely flow to the nearest transfer station. In particular, companies that provide residential and/or commercial collection service </w:t>
      </w:r>
      <w:r w:rsidR="0096084C">
        <w:rPr>
          <w:rFonts w:asciiTheme="majorHAnsi" w:hAnsiTheme="majorHAnsi"/>
          <w:i/>
          <w:sz w:val="24"/>
          <w:szCs w:val="24"/>
          <w:u w:val="single"/>
        </w:rPr>
        <w:t>and</w:t>
      </w:r>
      <w:r w:rsidR="0096084C">
        <w:rPr>
          <w:rFonts w:asciiTheme="majorHAnsi" w:hAnsiTheme="majorHAnsi"/>
          <w:i/>
          <w:sz w:val="24"/>
          <w:szCs w:val="24"/>
        </w:rPr>
        <w:t xml:space="preserve"> own a transfer station may bypass a Metro or competitor’s station to deliver the waste to their own facility.</w:t>
      </w:r>
    </w:p>
    <w:p w:rsidR="0096084C" w:rsidRDefault="0096084C" w:rsidP="0075272E">
      <w:pPr>
        <w:ind w:left="360"/>
        <w:rPr>
          <w:rFonts w:asciiTheme="majorHAnsi" w:hAnsiTheme="majorHAnsi"/>
          <w:i/>
          <w:sz w:val="24"/>
          <w:szCs w:val="24"/>
        </w:rPr>
      </w:pPr>
    </w:p>
    <w:p w:rsidR="0096084C" w:rsidRDefault="0096084C" w:rsidP="0075272E">
      <w:pPr>
        <w:ind w:left="360"/>
        <w:rPr>
          <w:rFonts w:asciiTheme="majorHAnsi" w:hAnsiTheme="majorHAnsi"/>
          <w:i/>
          <w:sz w:val="24"/>
          <w:szCs w:val="24"/>
        </w:rPr>
      </w:pPr>
      <w:r w:rsidRPr="00721685">
        <w:rPr>
          <w:rFonts w:asciiTheme="majorHAnsi" w:hAnsiTheme="majorHAnsi"/>
          <w:i/>
          <w:sz w:val="24"/>
          <w:szCs w:val="24"/>
        </w:rPr>
        <w:t>Staff recognize that transfer stations differ in costs, operations, staffing, and other respects. However, custom or relative standards may possibly create legal issues by treating the stations unequally.  To remove that risk, staff believe it is best practice is to design standards based a minimum or maximum standard akin to minimum wage law, clean air and drinking water standards.</w:t>
      </w:r>
    </w:p>
    <w:p w:rsidR="0096084C" w:rsidRDefault="0096084C" w:rsidP="0075272E">
      <w:pPr>
        <w:ind w:left="360"/>
        <w:rPr>
          <w:rFonts w:asciiTheme="majorHAnsi" w:hAnsiTheme="majorHAnsi"/>
          <w:i/>
          <w:sz w:val="24"/>
          <w:szCs w:val="24"/>
        </w:rPr>
      </w:pPr>
    </w:p>
    <w:p w:rsidR="0096084C" w:rsidRDefault="0096084C" w:rsidP="0075272E">
      <w:pPr>
        <w:ind w:left="360"/>
        <w:rPr>
          <w:rFonts w:asciiTheme="majorHAnsi" w:hAnsiTheme="majorHAnsi"/>
          <w:i/>
          <w:sz w:val="24"/>
          <w:szCs w:val="24"/>
        </w:rPr>
      </w:pPr>
      <w:r w:rsidRPr="00721685">
        <w:rPr>
          <w:rFonts w:asciiTheme="majorHAnsi" w:hAnsiTheme="majorHAnsi"/>
          <w:i/>
          <w:sz w:val="24"/>
          <w:szCs w:val="24"/>
        </w:rPr>
        <w:t xml:space="preserve">Finally, no station is required to apply for any goal-based allocation. Unlike the Code's mandatory regulations, these are voluntary actions </w:t>
      </w:r>
      <w:r w:rsidR="00EA6B6B">
        <w:rPr>
          <w:rFonts w:asciiTheme="majorHAnsi" w:hAnsiTheme="majorHAnsi"/>
          <w:i/>
          <w:sz w:val="24"/>
          <w:szCs w:val="24"/>
        </w:rPr>
        <w:t>that</w:t>
      </w:r>
      <w:r w:rsidRPr="00721685">
        <w:rPr>
          <w:rFonts w:asciiTheme="majorHAnsi" w:hAnsiTheme="majorHAnsi"/>
          <w:i/>
          <w:sz w:val="24"/>
          <w:szCs w:val="24"/>
        </w:rPr>
        <w:t xml:space="preserve"> provide bonus</w:t>
      </w:r>
      <w:r w:rsidR="00EA6B6B">
        <w:rPr>
          <w:rFonts w:asciiTheme="majorHAnsi" w:hAnsiTheme="majorHAnsi"/>
          <w:i/>
          <w:sz w:val="24"/>
          <w:szCs w:val="24"/>
        </w:rPr>
        <w:t xml:space="preserve"> tons to help</w:t>
      </w:r>
      <w:r>
        <w:rPr>
          <w:rFonts w:asciiTheme="majorHAnsi" w:hAnsiTheme="majorHAnsi"/>
          <w:i/>
          <w:sz w:val="24"/>
          <w:szCs w:val="24"/>
        </w:rPr>
        <w:t xml:space="preserve"> achieve regional </w:t>
      </w:r>
      <w:r w:rsidRPr="00721685">
        <w:rPr>
          <w:rFonts w:asciiTheme="majorHAnsi" w:hAnsiTheme="majorHAnsi"/>
          <w:i/>
          <w:sz w:val="24"/>
          <w:szCs w:val="24"/>
        </w:rPr>
        <w:t>goals.</w:t>
      </w:r>
    </w:p>
    <w:p w:rsidR="0096084C" w:rsidRDefault="0096084C" w:rsidP="0075272E">
      <w:pPr>
        <w:ind w:left="-1350"/>
        <w:rPr>
          <w:rFonts w:asciiTheme="majorHAnsi" w:hAnsiTheme="majorHAnsi"/>
          <w:i/>
          <w:sz w:val="24"/>
          <w:szCs w:val="24"/>
        </w:rPr>
      </w:pPr>
    </w:p>
    <w:p w:rsidR="0096084C" w:rsidRPr="00611613" w:rsidRDefault="0096084C" w:rsidP="0075272E">
      <w:pPr>
        <w:ind w:left="360"/>
        <w:rPr>
          <w:rFonts w:asciiTheme="majorHAnsi" w:hAnsiTheme="majorHAnsi"/>
          <w:i/>
          <w:sz w:val="24"/>
          <w:szCs w:val="24"/>
        </w:rPr>
      </w:pPr>
      <w:r w:rsidRPr="00611613">
        <w:rPr>
          <w:rFonts w:asciiTheme="majorHAnsi" w:hAnsiTheme="majorHAnsi"/>
          <w:i/>
          <w:sz w:val="24"/>
          <w:szCs w:val="24"/>
        </w:rPr>
        <w:t xml:space="preserve">Staff </w:t>
      </w:r>
      <w:r>
        <w:rPr>
          <w:rFonts w:asciiTheme="majorHAnsi" w:hAnsiTheme="majorHAnsi"/>
          <w:i/>
          <w:sz w:val="24"/>
          <w:szCs w:val="24"/>
        </w:rPr>
        <w:t>continue</w:t>
      </w:r>
      <w:r w:rsidRPr="00611613">
        <w:rPr>
          <w:rFonts w:asciiTheme="majorHAnsi" w:hAnsiTheme="majorHAnsi"/>
          <w:i/>
          <w:sz w:val="24"/>
          <w:szCs w:val="24"/>
        </w:rPr>
        <w:t xml:space="preserve"> to develop allocation criteria</w:t>
      </w:r>
      <w:r>
        <w:rPr>
          <w:rFonts w:asciiTheme="majorHAnsi" w:hAnsiTheme="majorHAnsi"/>
          <w:i/>
          <w:sz w:val="24"/>
          <w:szCs w:val="24"/>
        </w:rPr>
        <w:t xml:space="preserve"> for 2022 and beyond</w:t>
      </w:r>
      <w:r w:rsidRPr="00611613">
        <w:rPr>
          <w:rFonts w:asciiTheme="majorHAnsi" w:hAnsiTheme="majorHAnsi"/>
          <w:i/>
          <w:sz w:val="24"/>
          <w:szCs w:val="24"/>
        </w:rPr>
        <w:t xml:space="preserve"> that will promote progress on Regional Waste Plan and regional equity goals while also providing longevity for transfer station planning and investments and overall system stability.</w:t>
      </w:r>
    </w:p>
    <w:p w:rsidR="0096084C" w:rsidRPr="00611613" w:rsidRDefault="0096084C" w:rsidP="0075272E">
      <w:pPr>
        <w:rPr>
          <w:rFonts w:asciiTheme="majorHAnsi" w:hAnsiTheme="majorHAnsi"/>
          <w:i/>
          <w:sz w:val="24"/>
          <w:szCs w:val="24"/>
        </w:rPr>
      </w:pPr>
    </w:p>
    <w:p w:rsidR="00DE77DB" w:rsidRDefault="00DE77DB" w:rsidP="0075272E">
      <w:pPr>
        <w:pStyle w:val="ListParagraph"/>
        <w:numPr>
          <w:ilvl w:val="0"/>
          <w:numId w:val="37"/>
        </w:numPr>
        <w:ind w:left="360"/>
        <w:rPr>
          <w:rFonts w:asciiTheme="majorHAnsi" w:hAnsiTheme="majorHAnsi"/>
          <w:sz w:val="24"/>
          <w:szCs w:val="24"/>
        </w:rPr>
      </w:pPr>
      <w:r>
        <w:rPr>
          <w:rFonts w:asciiTheme="majorHAnsi" w:hAnsiTheme="majorHAnsi"/>
          <w:sz w:val="24"/>
          <w:szCs w:val="24"/>
        </w:rPr>
        <w:t>Specific g</w:t>
      </w:r>
      <w:r>
        <w:rPr>
          <w:rFonts w:asciiTheme="majorHAnsi" w:hAnsiTheme="majorHAnsi"/>
          <w:sz w:val="24"/>
          <w:szCs w:val="24"/>
        </w:rPr>
        <w:t>oals and criteria</w:t>
      </w:r>
    </w:p>
    <w:p w:rsidR="00DE77DB" w:rsidRDefault="00DE77DB" w:rsidP="0075272E">
      <w:pPr>
        <w:pStyle w:val="ListParagraph"/>
        <w:numPr>
          <w:ilvl w:val="1"/>
          <w:numId w:val="37"/>
        </w:numPr>
        <w:ind w:left="1080"/>
        <w:rPr>
          <w:rFonts w:asciiTheme="majorHAnsi" w:hAnsiTheme="majorHAnsi"/>
          <w:sz w:val="24"/>
          <w:szCs w:val="24"/>
        </w:rPr>
      </w:pPr>
      <w:r>
        <w:rPr>
          <w:rFonts w:asciiTheme="majorHAnsi" w:hAnsiTheme="majorHAnsi"/>
          <w:sz w:val="24"/>
          <w:szCs w:val="24"/>
        </w:rPr>
        <w:t>Living Wages and Good Benefits</w:t>
      </w:r>
    </w:p>
    <w:p w:rsidR="00DE77DB" w:rsidRDefault="00DE77DB" w:rsidP="0075272E">
      <w:pPr>
        <w:pStyle w:val="ListParagraph"/>
        <w:numPr>
          <w:ilvl w:val="2"/>
          <w:numId w:val="37"/>
        </w:numPr>
        <w:ind w:left="1800"/>
        <w:rPr>
          <w:sz w:val="24"/>
          <w:szCs w:val="24"/>
        </w:rPr>
      </w:pPr>
      <w:r w:rsidRPr="2B91B0A4">
        <w:rPr>
          <w:rFonts w:asciiTheme="majorHAnsi" w:hAnsiTheme="majorHAnsi"/>
          <w:sz w:val="24"/>
          <w:szCs w:val="24"/>
        </w:rPr>
        <w:t>Total compensation represents a more complete picture of the goal of living wages and benefits.</w:t>
      </w:r>
    </w:p>
    <w:p w:rsidR="00DE77DB" w:rsidRDefault="00DE77DB" w:rsidP="0075272E">
      <w:pPr>
        <w:pStyle w:val="ListParagraph"/>
        <w:numPr>
          <w:ilvl w:val="2"/>
          <w:numId w:val="37"/>
        </w:numPr>
        <w:ind w:left="1800"/>
        <w:rPr>
          <w:sz w:val="24"/>
          <w:szCs w:val="24"/>
        </w:rPr>
      </w:pPr>
      <w:r w:rsidRPr="2B91B0A4">
        <w:rPr>
          <w:rFonts w:asciiTheme="majorHAnsi" w:hAnsiTheme="majorHAnsi"/>
          <w:sz w:val="24"/>
          <w:szCs w:val="24"/>
        </w:rPr>
        <w:lastRenderedPageBreak/>
        <w:t>If this criterion is applied to employees’ take-home pay, it would not reflect the additional costs that some private transfer stations incur when hiring staff through temporary agencies that charge a fee for their staffing services.</w:t>
      </w:r>
    </w:p>
    <w:p w:rsidR="00DE77DB" w:rsidRPr="00531C00" w:rsidRDefault="00DE77DB" w:rsidP="0075272E">
      <w:pPr>
        <w:pStyle w:val="ListParagraph"/>
        <w:ind w:left="1080"/>
        <w:rPr>
          <w:rFonts w:asciiTheme="majorHAnsi" w:hAnsiTheme="majorHAnsi"/>
          <w:i/>
          <w:sz w:val="24"/>
          <w:szCs w:val="24"/>
        </w:rPr>
      </w:pPr>
    </w:p>
    <w:p w:rsidR="00DE77DB" w:rsidRPr="00D872AD" w:rsidRDefault="00DE77DB" w:rsidP="0075272E">
      <w:pPr>
        <w:ind w:left="1080"/>
        <w:rPr>
          <w:rFonts w:asciiTheme="majorHAnsi" w:hAnsiTheme="majorHAnsi"/>
          <w:i/>
          <w:sz w:val="24"/>
          <w:szCs w:val="24"/>
        </w:rPr>
      </w:pPr>
      <w:r>
        <w:rPr>
          <w:rFonts w:asciiTheme="majorHAnsi" w:hAnsiTheme="majorHAnsi"/>
          <w:i/>
          <w:sz w:val="24"/>
          <w:szCs w:val="24"/>
        </w:rPr>
        <w:t>Metro perspective: The proposed criterion uses a minimum take-home wage for the initial round because it is measurable, meaningful and can be implemented by June 30, 2021. Staff are working to expand the criteria to advance this goal.</w:t>
      </w:r>
    </w:p>
    <w:p w:rsidR="00DE77DB" w:rsidRPr="00531C00" w:rsidRDefault="00DE77DB" w:rsidP="0075272E">
      <w:pPr>
        <w:ind w:left="-360"/>
        <w:rPr>
          <w:rFonts w:asciiTheme="majorHAnsi" w:hAnsiTheme="majorHAnsi"/>
          <w:i/>
          <w:sz w:val="24"/>
          <w:szCs w:val="24"/>
        </w:rPr>
      </w:pPr>
    </w:p>
    <w:p w:rsidR="00DE77DB" w:rsidRDefault="00DE77DB" w:rsidP="0075272E">
      <w:pPr>
        <w:pStyle w:val="ListParagraph"/>
        <w:numPr>
          <w:ilvl w:val="1"/>
          <w:numId w:val="37"/>
        </w:numPr>
        <w:ind w:left="1080"/>
        <w:rPr>
          <w:rFonts w:asciiTheme="majorHAnsi" w:hAnsiTheme="majorHAnsi"/>
          <w:sz w:val="24"/>
          <w:szCs w:val="24"/>
        </w:rPr>
      </w:pPr>
      <w:r w:rsidRPr="1860902A">
        <w:rPr>
          <w:rFonts w:asciiTheme="majorHAnsi" w:hAnsiTheme="majorHAnsi"/>
          <w:sz w:val="24"/>
          <w:szCs w:val="24"/>
        </w:rPr>
        <w:t>Environmental Impacts</w:t>
      </w:r>
    </w:p>
    <w:p w:rsidR="00DE77DB" w:rsidRDefault="00DE77DB" w:rsidP="0075272E">
      <w:pPr>
        <w:pStyle w:val="ListParagraph"/>
        <w:numPr>
          <w:ilvl w:val="2"/>
          <w:numId w:val="37"/>
        </w:numPr>
        <w:ind w:left="1800"/>
        <w:rPr>
          <w:rFonts w:asciiTheme="majorHAnsi" w:hAnsiTheme="majorHAnsi"/>
          <w:sz w:val="24"/>
          <w:szCs w:val="24"/>
        </w:rPr>
      </w:pPr>
      <w:r w:rsidRPr="2B91B0A4">
        <w:rPr>
          <w:rFonts w:asciiTheme="majorHAnsi" w:hAnsiTheme="majorHAnsi"/>
          <w:sz w:val="24"/>
          <w:szCs w:val="24"/>
        </w:rPr>
        <w:t>Onsite equipment is a major expense that transfer station operators would not have time to act upon before 2021 allocations are decided.</w:t>
      </w:r>
    </w:p>
    <w:p w:rsidR="00DE77DB" w:rsidRDefault="00DE77DB" w:rsidP="0075272E">
      <w:pPr>
        <w:pStyle w:val="ListParagraph"/>
        <w:numPr>
          <w:ilvl w:val="2"/>
          <w:numId w:val="37"/>
        </w:numPr>
        <w:ind w:left="1800"/>
        <w:rPr>
          <w:rFonts w:asciiTheme="majorHAnsi" w:hAnsiTheme="majorHAnsi"/>
          <w:sz w:val="24"/>
          <w:szCs w:val="24"/>
        </w:rPr>
      </w:pPr>
      <w:r w:rsidRPr="2B91B0A4">
        <w:rPr>
          <w:rFonts w:asciiTheme="majorHAnsi" w:hAnsiTheme="majorHAnsi"/>
          <w:sz w:val="24"/>
          <w:szCs w:val="24"/>
        </w:rPr>
        <w:t xml:space="preserve">Additional time </w:t>
      </w:r>
      <w:r>
        <w:rPr>
          <w:rFonts w:asciiTheme="majorHAnsi" w:hAnsiTheme="majorHAnsi"/>
          <w:sz w:val="24"/>
          <w:szCs w:val="24"/>
        </w:rPr>
        <w:t xml:space="preserve">is </w:t>
      </w:r>
      <w:r w:rsidRPr="2B91B0A4">
        <w:rPr>
          <w:rFonts w:asciiTheme="majorHAnsi" w:hAnsiTheme="majorHAnsi"/>
          <w:sz w:val="24"/>
          <w:szCs w:val="24"/>
        </w:rPr>
        <w:t>needed to understand costs and change long-haul contracts.</w:t>
      </w:r>
    </w:p>
    <w:p w:rsidR="00DE77DB" w:rsidRDefault="00DE77DB" w:rsidP="0075272E">
      <w:pPr>
        <w:rPr>
          <w:rFonts w:asciiTheme="majorHAnsi" w:hAnsiTheme="majorHAnsi"/>
          <w:sz w:val="24"/>
          <w:szCs w:val="24"/>
        </w:rPr>
      </w:pPr>
    </w:p>
    <w:p w:rsidR="00DE77DB" w:rsidRPr="00531C00" w:rsidRDefault="00DE77DB" w:rsidP="0075272E">
      <w:pPr>
        <w:ind w:left="1080"/>
        <w:rPr>
          <w:rFonts w:asciiTheme="majorHAnsi" w:hAnsiTheme="majorHAnsi"/>
          <w:i/>
          <w:sz w:val="24"/>
          <w:szCs w:val="24"/>
        </w:rPr>
      </w:pPr>
      <w:r>
        <w:rPr>
          <w:rFonts w:asciiTheme="majorHAnsi" w:hAnsiTheme="majorHAnsi"/>
          <w:i/>
          <w:sz w:val="24"/>
          <w:szCs w:val="24"/>
        </w:rPr>
        <w:t>Metro perspective: Two options listed have been discussed since September 2020, and a third option (Tier 4 engines/emission control devices) has been recently added, expanding the set of actions transfer stations may take to meet this goal in a more flexible manner.</w:t>
      </w:r>
    </w:p>
    <w:p w:rsidR="00DE77DB" w:rsidRPr="005E6256" w:rsidRDefault="00DE77DB" w:rsidP="0075272E">
      <w:pPr>
        <w:rPr>
          <w:rFonts w:asciiTheme="majorHAnsi" w:hAnsiTheme="majorHAnsi"/>
          <w:sz w:val="24"/>
          <w:szCs w:val="24"/>
        </w:rPr>
      </w:pPr>
    </w:p>
    <w:p w:rsidR="00DE77DB" w:rsidRPr="00BB32E1" w:rsidRDefault="00DE77DB" w:rsidP="0075272E">
      <w:pPr>
        <w:pStyle w:val="ListParagraph"/>
        <w:numPr>
          <w:ilvl w:val="1"/>
          <w:numId w:val="37"/>
        </w:numPr>
        <w:ind w:left="1080"/>
        <w:rPr>
          <w:rFonts w:asciiTheme="majorHAnsi" w:hAnsiTheme="majorHAnsi"/>
          <w:sz w:val="24"/>
          <w:szCs w:val="24"/>
        </w:rPr>
      </w:pPr>
      <w:r w:rsidRPr="2B91B0A4">
        <w:rPr>
          <w:rFonts w:asciiTheme="majorHAnsi" w:hAnsiTheme="majorHAnsi"/>
          <w:sz w:val="24"/>
          <w:szCs w:val="24"/>
        </w:rPr>
        <w:t>Investing in Communities</w:t>
      </w:r>
    </w:p>
    <w:p w:rsidR="00DE77DB" w:rsidRDefault="00DE77DB" w:rsidP="0075272E">
      <w:pPr>
        <w:pStyle w:val="ListParagraph"/>
        <w:numPr>
          <w:ilvl w:val="2"/>
          <w:numId w:val="37"/>
        </w:numPr>
        <w:spacing w:line="259" w:lineRule="auto"/>
        <w:ind w:left="1800"/>
        <w:rPr>
          <w:rFonts w:asciiTheme="majorHAnsi" w:eastAsiaTheme="majorEastAsia" w:hAnsiTheme="majorHAnsi" w:cstheme="majorBidi"/>
          <w:sz w:val="24"/>
          <w:szCs w:val="24"/>
        </w:rPr>
      </w:pPr>
      <w:r w:rsidRPr="2B91B0A4">
        <w:rPr>
          <w:rFonts w:asciiTheme="majorHAnsi" w:hAnsiTheme="majorHAnsi"/>
          <w:sz w:val="24"/>
          <w:szCs w:val="24"/>
        </w:rPr>
        <w:t>Transfer stations that implement increased or additional enhancement fees will be adversely affected relative to other facilities that do not transfer wet waste or are not applying for goals-based tonnage.</w:t>
      </w:r>
    </w:p>
    <w:p w:rsidR="00DE77DB" w:rsidRPr="005E6256" w:rsidRDefault="00DE77DB" w:rsidP="0075272E">
      <w:pPr>
        <w:pStyle w:val="ListParagraph"/>
        <w:numPr>
          <w:ilvl w:val="2"/>
          <w:numId w:val="37"/>
        </w:numPr>
        <w:ind w:left="1800"/>
        <w:rPr>
          <w:sz w:val="24"/>
          <w:szCs w:val="24"/>
        </w:rPr>
      </w:pPr>
      <w:r>
        <w:rPr>
          <w:rFonts w:asciiTheme="majorHAnsi" w:hAnsiTheme="majorHAnsi"/>
          <w:sz w:val="24"/>
          <w:szCs w:val="24"/>
        </w:rPr>
        <w:t>M</w:t>
      </w:r>
      <w:r w:rsidRPr="2B91B0A4">
        <w:rPr>
          <w:rFonts w:asciiTheme="majorHAnsi" w:hAnsiTheme="majorHAnsi"/>
          <w:sz w:val="24"/>
          <w:szCs w:val="24"/>
        </w:rPr>
        <w:t>ore information</w:t>
      </w:r>
      <w:r>
        <w:rPr>
          <w:rFonts w:asciiTheme="majorHAnsi" w:hAnsiTheme="majorHAnsi"/>
          <w:sz w:val="24"/>
          <w:szCs w:val="24"/>
        </w:rPr>
        <w:t xml:space="preserve"> is needed</w:t>
      </w:r>
      <w:r w:rsidRPr="2B91B0A4">
        <w:rPr>
          <w:rFonts w:asciiTheme="majorHAnsi" w:hAnsiTheme="majorHAnsi"/>
          <w:sz w:val="24"/>
          <w:szCs w:val="24"/>
        </w:rPr>
        <w:t xml:space="preserve"> about the Community Enhance</w:t>
      </w:r>
      <w:r>
        <w:rPr>
          <w:rFonts w:asciiTheme="majorHAnsi" w:hAnsiTheme="majorHAnsi"/>
          <w:sz w:val="24"/>
          <w:szCs w:val="24"/>
        </w:rPr>
        <w:t xml:space="preserve">ment Grant Program and </w:t>
      </w:r>
      <w:r w:rsidRPr="2B91B0A4">
        <w:rPr>
          <w:rFonts w:asciiTheme="majorHAnsi" w:hAnsiTheme="majorHAnsi"/>
          <w:sz w:val="24"/>
          <w:szCs w:val="24"/>
        </w:rPr>
        <w:t>donations to local organizations should be considered as an alternative.</w:t>
      </w:r>
    </w:p>
    <w:p w:rsidR="00DE77DB" w:rsidRDefault="00DE77DB" w:rsidP="0075272E">
      <w:pPr>
        <w:rPr>
          <w:sz w:val="24"/>
          <w:szCs w:val="24"/>
        </w:rPr>
      </w:pPr>
    </w:p>
    <w:p w:rsidR="00DE77DB" w:rsidRPr="00531C00" w:rsidRDefault="00DE77DB" w:rsidP="0075272E">
      <w:pPr>
        <w:ind w:left="1080"/>
        <w:rPr>
          <w:rFonts w:asciiTheme="majorHAnsi" w:hAnsiTheme="majorHAnsi"/>
          <w:i/>
          <w:sz w:val="24"/>
          <w:szCs w:val="24"/>
        </w:rPr>
      </w:pPr>
      <w:r>
        <w:rPr>
          <w:rFonts w:asciiTheme="majorHAnsi" w:hAnsiTheme="majorHAnsi"/>
          <w:i/>
          <w:sz w:val="24"/>
          <w:szCs w:val="24"/>
        </w:rPr>
        <w:t>Metro perspective: Metro facilities have charged a Community Enhancement Fee on all materials since 2014 with no apparent disruption to the system. The Community Enhancement Grant Program was established in 1986 and is administered by Metro, local governments and local committee members to ensure that grant funds serve the interests of the local community.</w:t>
      </w:r>
    </w:p>
    <w:p w:rsidR="00DE77DB" w:rsidRPr="005E6256" w:rsidRDefault="00DE77DB" w:rsidP="0075272E">
      <w:pPr>
        <w:rPr>
          <w:sz w:val="24"/>
          <w:szCs w:val="24"/>
        </w:rPr>
      </w:pPr>
    </w:p>
    <w:p w:rsidR="00DE77DB" w:rsidRDefault="00DE77DB" w:rsidP="0075272E">
      <w:pPr>
        <w:pStyle w:val="ListParagraph"/>
        <w:numPr>
          <w:ilvl w:val="1"/>
          <w:numId w:val="37"/>
        </w:numPr>
        <w:ind w:left="1080"/>
        <w:rPr>
          <w:rFonts w:asciiTheme="majorHAnsi" w:hAnsiTheme="majorHAnsi"/>
          <w:sz w:val="24"/>
          <w:szCs w:val="24"/>
        </w:rPr>
      </w:pPr>
      <w:r w:rsidRPr="1860902A">
        <w:rPr>
          <w:rFonts w:asciiTheme="majorHAnsi" w:hAnsiTheme="majorHAnsi"/>
          <w:sz w:val="24"/>
          <w:szCs w:val="24"/>
        </w:rPr>
        <w:t>Rates</w:t>
      </w:r>
    </w:p>
    <w:p w:rsidR="00DE77DB" w:rsidRDefault="00DE77DB" w:rsidP="0075272E">
      <w:pPr>
        <w:pStyle w:val="ListParagraph"/>
        <w:numPr>
          <w:ilvl w:val="2"/>
          <w:numId w:val="37"/>
        </w:numPr>
        <w:ind w:left="1800"/>
        <w:rPr>
          <w:rFonts w:asciiTheme="majorHAnsi" w:hAnsiTheme="majorHAnsi"/>
          <w:sz w:val="24"/>
          <w:szCs w:val="24"/>
        </w:rPr>
      </w:pPr>
      <w:r w:rsidRPr="2B91B0A4">
        <w:rPr>
          <w:rFonts w:asciiTheme="majorHAnsi" w:hAnsiTheme="majorHAnsi"/>
          <w:sz w:val="24"/>
          <w:szCs w:val="24"/>
        </w:rPr>
        <w:t>Private transfer stations may not have flexibility to meet the rates charged by Metro’s transfer stations given private facility tonnage levels, tax burdens, and capital costs.</w:t>
      </w:r>
    </w:p>
    <w:p w:rsidR="00DE77DB" w:rsidRPr="005E6256" w:rsidRDefault="00DE77DB" w:rsidP="0075272E">
      <w:pPr>
        <w:pStyle w:val="ListParagraph"/>
        <w:numPr>
          <w:ilvl w:val="2"/>
          <w:numId w:val="37"/>
        </w:numPr>
        <w:ind w:left="1800"/>
        <w:rPr>
          <w:sz w:val="24"/>
          <w:szCs w:val="24"/>
        </w:rPr>
      </w:pPr>
      <w:r w:rsidRPr="2B91B0A4">
        <w:rPr>
          <w:rFonts w:asciiTheme="majorHAnsi" w:hAnsiTheme="majorHAnsi"/>
          <w:sz w:val="24"/>
          <w:szCs w:val="24"/>
        </w:rPr>
        <w:t>Investments made to meet other goals will increase costs and make it more difficult to match Metro’s rate.</w:t>
      </w:r>
    </w:p>
    <w:p w:rsidR="00DE77DB" w:rsidRDefault="00DE77DB" w:rsidP="0075272E">
      <w:pPr>
        <w:rPr>
          <w:sz w:val="24"/>
          <w:szCs w:val="24"/>
        </w:rPr>
      </w:pPr>
    </w:p>
    <w:p w:rsidR="00DE77DB" w:rsidRPr="00531C00" w:rsidRDefault="00DE77DB" w:rsidP="0075272E">
      <w:pPr>
        <w:ind w:left="1080"/>
        <w:rPr>
          <w:rFonts w:asciiTheme="majorHAnsi" w:hAnsiTheme="majorHAnsi"/>
          <w:i/>
          <w:sz w:val="24"/>
          <w:szCs w:val="24"/>
        </w:rPr>
      </w:pPr>
      <w:r>
        <w:rPr>
          <w:rFonts w:asciiTheme="majorHAnsi" w:hAnsiTheme="majorHAnsi"/>
          <w:i/>
          <w:sz w:val="24"/>
          <w:szCs w:val="24"/>
        </w:rPr>
        <w:t>Metro perspective: Staff propose a 5 percent buffer above Metro’s rate for the 2021 implementation to allow facilities more flexibility as they transition to goals-based allocations on the abbreviated 2021 schedule.</w:t>
      </w:r>
    </w:p>
    <w:p w:rsidR="0096084C" w:rsidRPr="006420F4" w:rsidRDefault="0096084C" w:rsidP="006420F4">
      <w:pPr>
        <w:rPr>
          <w:rFonts w:asciiTheme="majorHAnsi" w:hAnsiTheme="majorHAnsi"/>
          <w:sz w:val="24"/>
          <w:szCs w:val="24"/>
        </w:rPr>
      </w:pPr>
    </w:p>
    <w:sectPr w:rsidR="0096084C" w:rsidRPr="006420F4" w:rsidSect="0081449C">
      <w:head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03" w:rsidRDefault="00F74C03" w:rsidP="006B45E5">
      <w:r>
        <w:separator/>
      </w:r>
    </w:p>
  </w:endnote>
  <w:endnote w:type="continuationSeparator" w:id="0">
    <w:p w:rsidR="00F74C03" w:rsidRDefault="00F74C03" w:rsidP="006B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Omega (PCL6)">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03" w:rsidRDefault="00F74C03" w:rsidP="006B45E5">
      <w:r>
        <w:separator/>
      </w:r>
    </w:p>
  </w:footnote>
  <w:footnote w:type="continuationSeparator" w:id="0">
    <w:p w:rsidR="00F74C03" w:rsidRDefault="00F74C03" w:rsidP="006B4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E5" w:rsidRDefault="006B4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492"/>
    <w:multiLevelType w:val="multilevel"/>
    <w:tmpl w:val="C23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B037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3B1CB4"/>
    <w:multiLevelType w:val="hybridMultilevel"/>
    <w:tmpl w:val="A958FF48"/>
    <w:lvl w:ilvl="0" w:tplc="1DE2B280">
      <w:start w:val="1"/>
      <w:numFmt w:val="bullet"/>
      <w:lvlText w:val="•"/>
      <w:lvlJc w:val="left"/>
      <w:pPr>
        <w:tabs>
          <w:tab w:val="num" w:pos="1800"/>
        </w:tabs>
        <w:ind w:left="1800" w:hanging="360"/>
      </w:pPr>
      <w:rPr>
        <w:rFonts w:ascii="Arial" w:hAnsi="Arial" w:hint="default"/>
      </w:rPr>
    </w:lvl>
    <w:lvl w:ilvl="1" w:tplc="4AEA849C" w:tentative="1">
      <w:start w:val="1"/>
      <w:numFmt w:val="bullet"/>
      <w:lvlText w:val="•"/>
      <w:lvlJc w:val="left"/>
      <w:pPr>
        <w:tabs>
          <w:tab w:val="num" w:pos="2520"/>
        </w:tabs>
        <w:ind w:left="2520" w:hanging="360"/>
      </w:pPr>
      <w:rPr>
        <w:rFonts w:ascii="Arial" w:hAnsi="Arial" w:hint="default"/>
      </w:rPr>
    </w:lvl>
    <w:lvl w:ilvl="2" w:tplc="FD80E142" w:tentative="1">
      <w:start w:val="1"/>
      <w:numFmt w:val="bullet"/>
      <w:lvlText w:val="•"/>
      <w:lvlJc w:val="left"/>
      <w:pPr>
        <w:tabs>
          <w:tab w:val="num" w:pos="3240"/>
        </w:tabs>
        <w:ind w:left="3240" w:hanging="360"/>
      </w:pPr>
      <w:rPr>
        <w:rFonts w:ascii="Arial" w:hAnsi="Arial" w:hint="default"/>
      </w:rPr>
    </w:lvl>
    <w:lvl w:ilvl="3" w:tplc="44664D6C" w:tentative="1">
      <w:start w:val="1"/>
      <w:numFmt w:val="bullet"/>
      <w:lvlText w:val="•"/>
      <w:lvlJc w:val="left"/>
      <w:pPr>
        <w:tabs>
          <w:tab w:val="num" w:pos="3960"/>
        </w:tabs>
        <w:ind w:left="3960" w:hanging="360"/>
      </w:pPr>
      <w:rPr>
        <w:rFonts w:ascii="Arial" w:hAnsi="Arial" w:hint="default"/>
      </w:rPr>
    </w:lvl>
    <w:lvl w:ilvl="4" w:tplc="B8122436" w:tentative="1">
      <w:start w:val="1"/>
      <w:numFmt w:val="bullet"/>
      <w:lvlText w:val="•"/>
      <w:lvlJc w:val="left"/>
      <w:pPr>
        <w:tabs>
          <w:tab w:val="num" w:pos="4680"/>
        </w:tabs>
        <w:ind w:left="4680" w:hanging="360"/>
      </w:pPr>
      <w:rPr>
        <w:rFonts w:ascii="Arial" w:hAnsi="Arial" w:hint="default"/>
      </w:rPr>
    </w:lvl>
    <w:lvl w:ilvl="5" w:tplc="98A0A6EE" w:tentative="1">
      <w:start w:val="1"/>
      <w:numFmt w:val="bullet"/>
      <w:lvlText w:val="•"/>
      <w:lvlJc w:val="left"/>
      <w:pPr>
        <w:tabs>
          <w:tab w:val="num" w:pos="5400"/>
        </w:tabs>
        <w:ind w:left="5400" w:hanging="360"/>
      </w:pPr>
      <w:rPr>
        <w:rFonts w:ascii="Arial" w:hAnsi="Arial" w:hint="default"/>
      </w:rPr>
    </w:lvl>
    <w:lvl w:ilvl="6" w:tplc="6A92B9B4" w:tentative="1">
      <w:start w:val="1"/>
      <w:numFmt w:val="bullet"/>
      <w:lvlText w:val="•"/>
      <w:lvlJc w:val="left"/>
      <w:pPr>
        <w:tabs>
          <w:tab w:val="num" w:pos="6120"/>
        </w:tabs>
        <w:ind w:left="6120" w:hanging="360"/>
      </w:pPr>
      <w:rPr>
        <w:rFonts w:ascii="Arial" w:hAnsi="Arial" w:hint="default"/>
      </w:rPr>
    </w:lvl>
    <w:lvl w:ilvl="7" w:tplc="BB94C282" w:tentative="1">
      <w:start w:val="1"/>
      <w:numFmt w:val="bullet"/>
      <w:lvlText w:val="•"/>
      <w:lvlJc w:val="left"/>
      <w:pPr>
        <w:tabs>
          <w:tab w:val="num" w:pos="6840"/>
        </w:tabs>
        <w:ind w:left="6840" w:hanging="360"/>
      </w:pPr>
      <w:rPr>
        <w:rFonts w:ascii="Arial" w:hAnsi="Arial" w:hint="default"/>
      </w:rPr>
    </w:lvl>
    <w:lvl w:ilvl="8" w:tplc="693485B8"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C4326C7"/>
    <w:multiLevelType w:val="multilevel"/>
    <w:tmpl w:val="B5E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0381D"/>
    <w:multiLevelType w:val="hybridMultilevel"/>
    <w:tmpl w:val="CE983248"/>
    <w:lvl w:ilvl="0" w:tplc="5B6C9D48">
      <w:start w:val="1"/>
      <w:numFmt w:val="bullet"/>
      <w:lvlText w:val="•"/>
      <w:lvlJc w:val="left"/>
      <w:pPr>
        <w:tabs>
          <w:tab w:val="num" w:pos="720"/>
        </w:tabs>
        <w:ind w:left="720" w:hanging="360"/>
      </w:pPr>
      <w:rPr>
        <w:rFonts w:ascii="Arial" w:hAnsi="Arial" w:hint="default"/>
      </w:rPr>
    </w:lvl>
    <w:lvl w:ilvl="1" w:tplc="5FCEE2B0" w:tentative="1">
      <w:start w:val="1"/>
      <w:numFmt w:val="bullet"/>
      <w:lvlText w:val="•"/>
      <w:lvlJc w:val="left"/>
      <w:pPr>
        <w:tabs>
          <w:tab w:val="num" w:pos="1440"/>
        </w:tabs>
        <w:ind w:left="1440" w:hanging="360"/>
      </w:pPr>
      <w:rPr>
        <w:rFonts w:ascii="Arial" w:hAnsi="Arial" w:hint="default"/>
      </w:rPr>
    </w:lvl>
    <w:lvl w:ilvl="2" w:tplc="0E6A3B64" w:tentative="1">
      <w:start w:val="1"/>
      <w:numFmt w:val="bullet"/>
      <w:lvlText w:val="•"/>
      <w:lvlJc w:val="left"/>
      <w:pPr>
        <w:tabs>
          <w:tab w:val="num" w:pos="2160"/>
        </w:tabs>
        <w:ind w:left="2160" w:hanging="360"/>
      </w:pPr>
      <w:rPr>
        <w:rFonts w:ascii="Arial" w:hAnsi="Arial" w:hint="default"/>
      </w:rPr>
    </w:lvl>
    <w:lvl w:ilvl="3" w:tplc="E892E800" w:tentative="1">
      <w:start w:val="1"/>
      <w:numFmt w:val="bullet"/>
      <w:lvlText w:val="•"/>
      <w:lvlJc w:val="left"/>
      <w:pPr>
        <w:tabs>
          <w:tab w:val="num" w:pos="2880"/>
        </w:tabs>
        <w:ind w:left="2880" w:hanging="360"/>
      </w:pPr>
      <w:rPr>
        <w:rFonts w:ascii="Arial" w:hAnsi="Arial" w:hint="default"/>
      </w:rPr>
    </w:lvl>
    <w:lvl w:ilvl="4" w:tplc="0406D29A" w:tentative="1">
      <w:start w:val="1"/>
      <w:numFmt w:val="bullet"/>
      <w:lvlText w:val="•"/>
      <w:lvlJc w:val="left"/>
      <w:pPr>
        <w:tabs>
          <w:tab w:val="num" w:pos="3600"/>
        </w:tabs>
        <w:ind w:left="3600" w:hanging="360"/>
      </w:pPr>
      <w:rPr>
        <w:rFonts w:ascii="Arial" w:hAnsi="Arial" w:hint="default"/>
      </w:rPr>
    </w:lvl>
    <w:lvl w:ilvl="5" w:tplc="D5FA79BE" w:tentative="1">
      <w:start w:val="1"/>
      <w:numFmt w:val="bullet"/>
      <w:lvlText w:val="•"/>
      <w:lvlJc w:val="left"/>
      <w:pPr>
        <w:tabs>
          <w:tab w:val="num" w:pos="4320"/>
        </w:tabs>
        <w:ind w:left="4320" w:hanging="360"/>
      </w:pPr>
      <w:rPr>
        <w:rFonts w:ascii="Arial" w:hAnsi="Arial" w:hint="default"/>
      </w:rPr>
    </w:lvl>
    <w:lvl w:ilvl="6" w:tplc="C8C6D31C" w:tentative="1">
      <w:start w:val="1"/>
      <w:numFmt w:val="bullet"/>
      <w:lvlText w:val="•"/>
      <w:lvlJc w:val="left"/>
      <w:pPr>
        <w:tabs>
          <w:tab w:val="num" w:pos="5040"/>
        </w:tabs>
        <w:ind w:left="5040" w:hanging="360"/>
      </w:pPr>
      <w:rPr>
        <w:rFonts w:ascii="Arial" w:hAnsi="Arial" w:hint="default"/>
      </w:rPr>
    </w:lvl>
    <w:lvl w:ilvl="7" w:tplc="4E8EEED8" w:tentative="1">
      <w:start w:val="1"/>
      <w:numFmt w:val="bullet"/>
      <w:lvlText w:val="•"/>
      <w:lvlJc w:val="left"/>
      <w:pPr>
        <w:tabs>
          <w:tab w:val="num" w:pos="5760"/>
        </w:tabs>
        <w:ind w:left="5760" w:hanging="360"/>
      </w:pPr>
      <w:rPr>
        <w:rFonts w:ascii="Arial" w:hAnsi="Arial" w:hint="default"/>
      </w:rPr>
    </w:lvl>
    <w:lvl w:ilvl="8" w:tplc="8C342A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400C0F"/>
    <w:multiLevelType w:val="hybridMultilevel"/>
    <w:tmpl w:val="AB405896"/>
    <w:lvl w:ilvl="0" w:tplc="0E0AE9C6">
      <w:start w:val="1"/>
      <w:numFmt w:val="bullet"/>
      <w:lvlText w:val="•"/>
      <w:lvlJc w:val="left"/>
      <w:pPr>
        <w:tabs>
          <w:tab w:val="num" w:pos="1080"/>
        </w:tabs>
        <w:ind w:left="1080" w:hanging="360"/>
      </w:pPr>
      <w:rPr>
        <w:rFonts w:ascii="Arial" w:hAnsi="Arial" w:hint="default"/>
      </w:rPr>
    </w:lvl>
    <w:lvl w:ilvl="1" w:tplc="FB1614D6" w:tentative="1">
      <w:start w:val="1"/>
      <w:numFmt w:val="bullet"/>
      <w:lvlText w:val="•"/>
      <w:lvlJc w:val="left"/>
      <w:pPr>
        <w:tabs>
          <w:tab w:val="num" w:pos="1800"/>
        </w:tabs>
        <w:ind w:left="1800" w:hanging="360"/>
      </w:pPr>
      <w:rPr>
        <w:rFonts w:ascii="Arial" w:hAnsi="Arial" w:hint="default"/>
      </w:rPr>
    </w:lvl>
    <w:lvl w:ilvl="2" w:tplc="92427F1C" w:tentative="1">
      <w:start w:val="1"/>
      <w:numFmt w:val="bullet"/>
      <w:lvlText w:val="•"/>
      <w:lvlJc w:val="left"/>
      <w:pPr>
        <w:tabs>
          <w:tab w:val="num" w:pos="2520"/>
        </w:tabs>
        <w:ind w:left="2520" w:hanging="360"/>
      </w:pPr>
      <w:rPr>
        <w:rFonts w:ascii="Arial" w:hAnsi="Arial" w:hint="default"/>
      </w:rPr>
    </w:lvl>
    <w:lvl w:ilvl="3" w:tplc="B3623C58" w:tentative="1">
      <w:start w:val="1"/>
      <w:numFmt w:val="bullet"/>
      <w:lvlText w:val="•"/>
      <w:lvlJc w:val="left"/>
      <w:pPr>
        <w:tabs>
          <w:tab w:val="num" w:pos="3240"/>
        </w:tabs>
        <w:ind w:left="3240" w:hanging="360"/>
      </w:pPr>
      <w:rPr>
        <w:rFonts w:ascii="Arial" w:hAnsi="Arial" w:hint="default"/>
      </w:rPr>
    </w:lvl>
    <w:lvl w:ilvl="4" w:tplc="49F47DF0" w:tentative="1">
      <w:start w:val="1"/>
      <w:numFmt w:val="bullet"/>
      <w:lvlText w:val="•"/>
      <w:lvlJc w:val="left"/>
      <w:pPr>
        <w:tabs>
          <w:tab w:val="num" w:pos="3960"/>
        </w:tabs>
        <w:ind w:left="3960" w:hanging="360"/>
      </w:pPr>
      <w:rPr>
        <w:rFonts w:ascii="Arial" w:hAnsi="Arial" w:hint="default"/>
      </w:rPr>
    </w:lvl>
    <w:lvl w:ilvl="5" w:tplc="C58ACDD6" w:tentative="1">
      <w:start w:val="1"/>
      <w:numFmt w:val="bullet"/>
      <w:lvlText w:val="•"/>
      <w:lvlJc w:val="left"/>
      <w:pPr>
        <w:tabs>
          <w:tab w:val="num" w:pos="4680"/>
        </w:tabs>
        <w:ind w:left="4680" w:hanging="360"/>
      </w:pPr>
      <w:rPr>
        <w:rFonts w:ascii="Arial" w:hAnsi="Arial" w:hint="default"/>
      </w:rPr>
    </w:lvl>
    <w:lvl w:ilvl="6" w:tplc="1166B8A4" w:tentative="1">
      <w:start w:val="1"/>
      <w:numFmt w:val="bullet"/>
      <w:lvlText w:val="•"/>
      <w:lvlJc w:val="left"/>
      <w:pPr>
        <w:tabs>
          <w:tab w:val="num" w:pos="5400"/>
        </w:tabs>
        <w:ind w:left="5400" w:hanging="360"/>
      </w:pPr>
      <w:rPr>
        <w:rFonts w:ascii="Arial" w:hAnsi="Arial" w:hint="default"/>
      </w:rPr>
    </w:lvl>
    <w:lvl w:ilvl="7" w:tplc="1BFCE330" w:tentative="1">
      <w:start w:val="1"/>
      <w:numFmt w:val="bullet"/>
      <w:lvlText w:val="•"/>
      <w:lvlJc w:val="left"/>
      <w:pPr>
        <w:tabs>
          <w:tab w:val="num" w:pos="6120"/>
        </w:tabs>
        <w:ind w:left="6120" w:hanging="360"/>
      </w:pPr>
      <w:rPr>
        <w:rFonts w:ascii="Arial" w:hAnsi="Arial" w:hint="default"/>
      </w:rPr>
    </w:lvl>
    <w:lvl w:ilvl="8" w:tplc="42F88248"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D0E4BEA"/>
    <w:multiLevelType w:val="multilevel"/>
    <w:tmpl w:val="CA524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C5BE2"/>
    <w:multiLevelType w:val="multilevel"/>
    <w:tmpl w:val="6E4C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775C7"/>
    <w:multiLevelType w:val="multilevel"/>
    <w:tmpl w:val="451C9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871EA3"/>
    <w:multiLevelType w:val="multilevel"/>
    <w:tmpl w:val="225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424F6"/>
    <w:multiLevelType w:val="hybridMultilevel"/>
    <w:tmpl w:val="761C86CA"/>
    <w:lvl w:ilvl="0" w:tplc="63483DB4">
      <w:start w:val="1"/>
      <w:numFmt w:val="bullet"/>
      <w:lvlText w:val="•"/>
      <w:lvlJc w:val="left"/>
      <w:pPr>
        <w:tabs>
          <w:tab w:val="num" w:pos="720"/>
        </w:tabs>
        <w:ind w:left="720" w:hanging="360"/>
      </w:pPr>
      <w:rPr>
        <w:rFonts w:ascii="Arial" w:hAnsi="Arial" w:hint="default"/>
      </w:rPr>
    </w:lvl>
    <w:lvl w:ilvl="1" w:tplc="AE0206A4" w:tentative="1">
      <w:start w:val="1"/>
      <w:numFmt w:val="bullet"/>
      <w:lvlText w:val="•"/>
      <w:lvlJc w:val="left"/>
      <w:pPr>
        <w:tabs>
          <w:tab w:val="num" w:pos="1440"/>
        </w:tabs>
        <w:ind w:left="1440" w:hanging="360"/>
      </w:pPr>
      <w:rPr>
        <w:rFonts w:ascii="Arial" w:hAnsi="Arial" w:hint="default"/>
      </w:rPr>
    </w:lvl>
    <w:lvl w:ilvl="2" w:tplc="3A3EBEE4" w:tentative="1">
      <w:start w:val="1"/>
      <w:numFmt w:val="bullet"/>
      <w:lvlText w:val="•"/>
      <w:lvlJc w:val="left"/>
      <w:pPr>
        <w:tabs>
          <w:tab w:val="num" w:pos="2160"/>
        </w:tabs>
        <w:ind w:left="2160" w:hanging="360"/>
      </w:pPr>
      <w:rPr>
        <w:rFonts w:ascii="Arial" w:hAnsi="Arial" w:hint="default"/>
      </w:rPr>
    </w:lvl>
    <w:lvl w:ilvl="3" w:tplc="E480ACB4" w:tentative="1">
      <w:start w:val="1"/>
      <w:numFmt w:val="bullet"/>
      <w:lvlText w:val="•"/>
      <w:lvlJc w:val="left"/>
      <w:pPr>
        <w:tabs>
          <w:tab w:val="num" w:pos="2880"/>
        </w:tabs>
        <w:ind w:left="2880" w:hanging="360"/>
      </w:pPr>
      <w:rPr>
        <w:rFonts w:ascii="Arial" w:hAnsi="Arial" w:hint="default"/>
      </w:rPr>
    </w:lvl>
    <w:lvl w:ilvl="4" w:tplc="F49E1D3A" w:tentative="1">
      <w:start w:val="1"/>
      <w:numFmt w:val="bullet"/>
      <w:lvlText w:val="•"/>
      <w:lvlJc w:val="left"/>
      <w:pPr>
        <w:tabs>
          <w:tab w:val="num" w:pos="3600"/>
        </w:tabs>
        <w:ind w:left="3600" w:hanging="360"/>
      </w:pPr>
      <w:rPr>
        <w:rFonts w:ascii="Arial" w:hAnsi="Arial" w:hint="default"/>
      </w:rPr>
    </w:lvl>
    <w:lvl w:ilvl="5" w:tplc="910AC65E" w:tentative="1">
      <w:start w:val="1"/>
      <w:numFmt w:val="bullet"/>
      <w:lvlText w:val="•"/>
      <w:lvlJc w:val="left"/>
      <w:pPr>
        <w:tabs>
          <w:tab w:val="num" w:pos="4320"/>
        </w:tabs>
        <w:ind w:left="4320" w:hanging="360"/>
      </w:pPr>
      <w:rPr>
        <w:rFonts w:ascii="Arial" w:hAnsi="Arial" w:hint="default"/>
      </w:rPr>
    </w:lvl>
    <w:lvl w:ilvl="6" w:tplc="8F588F2E" w:tentative="1">
      <w:start w:val="1"/>
      <w:numFmt w:val="bullet"/>
      <w:lvlText w:val="•"/>
      <w:lvlJc w:val="left"/>
      <w:pPr>
        <w:tabs>
          <w:tab w:val="num" w:pos="5040"/>
        </w:tabs>
        <w:ind w:left="5040" w:hanging="360"/>
      </w:pPr>
      <w:rPr>
        <w:rFonts w:ascii="Arial" w:hAnsi="Arial" w:hint="default"/>
      </w:rPr>
    </w:lvl>
    <w:lvl w:ilvl="7" w:tplc="3C32B606" w:tentative="1">
      <w:start w:val="1"/>
      <w:numFmt w:val="bullet"/>
      <w:lvlText w:val="•"/>
      <w:lvlJc w:val="left"/>
      <w:pPr>
        <w:tabs>
          <w:tab w:val="num" w:pos="5760"/>
        </w:tabs>
        <w:ind w:left="5760" w:hanging="360"/>
      </w:pPr>
      <w:rPr>
        <w:rFonts w:ascii="Arial" w:hAnsi="Arial" w:hint="default"/>
      </w:rPr>
    </w:lvl>
    <w:lvl w:ilvl="8" w:tplc="BA560D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46E94"/>
    <w:multiLevelType w:val="multilevel"/>
    <w:tmpl w:val="CE6E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4493A"/>
    <w:multiLevelType w:val="multilevel"/>
    <w:tmpl w:val="0B1CA974"/>
    <w:lvl w:ilvl="0">
      <w:start w:val="1"/>
      <w:numFmt w:val="bullet"/>
      <w:lvlText w:val="o"/>
      <w:lvlJc w:val="left"/>
      <w:pPr>
        <w:tabs>
          <w:tab w:val="num" w:pos="2409"/>
        </w:tabs>
        <w:ind w:left="2409" w:hanging="360"/>
      </w:pPr>
      <w:rPr>
        <w:rFonts w:ascii="Courier New" w:hAnsi="Courier New" w:hint="default"/>
        <w:sz w:val="20"/>
      </w:rPr>
    </w:lvl>
    <w:lvl w:ilvl="1" w:tentative="1">
      <w:start w:val="1"/>
      <w:numFmt w:val="bullet"/>
      <w:lvlText w:val="o"/>
      <w:lvlJc w:val="left"/>
      <w:pPr>
        <w:tabs>
          <w:tab w:val="num" w:pos="3129"/>
        </w:tabs>
        <w:ind w:left="3129" w:hanging="360"/>
      </w:pPr>
      <w:rPr>
        <w:rFonts w:ascii="Courier New" w:hAnsi="Courier New" w:hint="default"/>
        <w:sz w:val="20"/>
      </w:rPr>
    </w:lvl>
    <w:lvl w:ilvl="2" w:tentative="1">
      <w:start w:val="1"/>
      <w:numFmt w:val="bullet"/>
      <w:lvlText w:val="o"/>
      <w:lvlJc w:val="left"/>
      <w:pPr>
        <w:tabs>
          <w:tab w:val="num" w:pos="3849"/>
        </w:tabs>
        <w:ind w:left="3849" w:hanging="360"/>
      </w:pPr>
      <w:rPr>
        <w:rFonts w:ascii="Courier New" w:hAnsi="Courier New" w:hint="default"/>
        <w:sz w:val="20"/>
      </w:rPr>
    </w:lvl>
    <w:lvl w:ilvl="3" w:tentative="1">
      <w:start w:val="1"/>
      <w:numFmt w:val="bullet"/>
      <w:lvlText w:val="o"/>
      <w:lvlJc w:val="left"/>
      <w:pPr>
        <w:tabs>
          <w:tab w:val="num" w:pos="4569"/>
        </w:tabs>
        <w:ind w:left="4569" w:hanging="360"/>
      </w:pPr>
      <w:rPr>
        <w:rFonts w:ascii="Courier New" w:hAnsi="Courier New" w:hint="default"/>
        <w:sz w:val="20"/>
      </w:rPr>
    </w:lvl>
    <w:lvl w:ilvl="4" w:tentative="1">
      <w:start w:val="1"/>
      <w:numFmt w:val="bullet"/>
      <w:lvlText w:val="o"/>
      <w:lvlJc w:val="left"/>
      <w:pPr>
        <w:tabs>
          <w:tab w:val="num" w:pos="5289"/>
        </w:tabs>
        <w:ind w:left="5289" w:hanging="360"/>
      </w:pPr>
      <w:rPr>
        <w:rFonts w:ascii="Courier New" w:hAnsi="Courier New" w:hint="default"/>
        <w:sz w:val="20"/>
      </w:rPr>
    </w:lvl>
    <w:lvl w:ilvl="5" w:tentative="1">
      <w:start w:val="1"/>
      <w:numFmt w:val="bullet"/>
      <w:lvlText w:val="o"/>
      <w:lvlJc w:val="left"/>
      <w:pPr>
        <w:tabs>
          <w:tab w:val="num" w:pos="6009"/>
        </w:tabs>
        <w:ind w:left="6009" w:hanging="360"/>
      </w:pPr>
      <w:rPr>
        <w:rFonts w:ascii="Courier New" w:hAnsi="Courier New" w:hint="default"/>
        <w:sz w:val="20"/>
      </w:rPr>
    </w:lvl>
    <w:lvl w:ilvl="6" w:tentative="1">
      <w:start w:val="1"/>
      <w:numFmt w:val="bullet"/>
      <w:lvlText w:val="o"/>
      <w:lvlJc w:val="left"/>
      <w:pPr>
        <w:tabs>
          <w:tab w:val="num" w:pos="6729"/>
        </w:tabs>
        <w:ind w:left="6729" w:hanging="360"/>
      </w:pPr>
      <w:rPr>
        <w:rFonts w:ascii="Courier New" w:hAnsi="Courier New" w:hint="default"/>
        <w:sz w:val="20"/>
      </w:rPr>
    </w:lvl>
    <w:lvl w:ilvl="7" w:tentative="1">
      <w:start w:val="1"/>
      <w:numFmt w:val="bullet"/>
      <w:lvlText w:val="o"/>
      <w:lvlJc w:val="left"/>
      <w:pPr>
        <w:tabs>
          <w:tab w:val="num" w:pos="7449"/>
        </w:tabs>
        <w:ind w:left="7449" w:hanging="360"/>
      </w:pPr>
      <w:rPr>
        <w:rFonts w:ascii="Courier New" w:hAnsi="Courier New" w:hint="default"/>
        <w:sz w:val="20"/>
      </w:rPr>
    </w:lvl>
    <w:lvl w:ilvl="8" w:tentative="1">
      <w:start w:val="1"/>
      <w:numFmt w:val="bullet"/>
      <w:lvlText w:val="o"/>
      <w:lvlJc w:val="left"/>
      <w:pPr>
        <w:tabs>
          <w:tab w:val="num" w:pos="8169"/>
        </w:tabs>
        <w:ind w:left="8169" w:hanging="360"/>
      </w:pPr>
      <w:rPr>
        <w:rFonts w:ascii="Courier New" w:hAnsi="Courier New" w:hint="default"/>
        <w:sz w:val="20"/>
      </w:rPr>
    </w:lvl>
  </w:abstractNum>
  <w:abstractNum w:abstractNumId="13" w15:restartNumberingAfterBreak="0">
    <w:nsid w:val="398F5EF9"/>
    <w:multiLevelType w:val="multilevel"/>
    <w:tmpl w:val="75C4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3820F3"/>
    <w:multiLevelType w:val="multilevel"/>
    <w:tmpl w:val="717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D7994"/>
    <w:multiLevelType w:val="multilevel"/>
    <w:tmpl w:val="0FC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B2E9A"/>
    <w:multiLevelType w:val="hybridMultilevel"/>
    <w:tmpl w:val="79A2A14A"/>
    <w:lvl w:ilvl="0" w:tplc="85F8034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734B0"/>
    <w:multiLevelType w:val="multilevel"/>
    <w:tmpl w:val="EC50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E470AE"/>
    <w:multiLevelType w:val="hybridMultilevel"/>
    <w:tmpl w:val="11182C0C"/>
    <w:lvl w:ilvl="0" w:tplc="5510D0F4">
      <w:start w:val="1"/>
      <w:numFmt w:val="bullet"/>
      <w:lvlText w:val="•"/>
      <w:lvlJc w:val="left"/>
      <w:pPr>
        <w:tabs>
          <w:tab w:val="num" w:pos="720"/>
        </w:tabs>
        <w:ind w:left="720" w:hanging="360"/>
      </w:pPr>
      <w:rPr>
        <w:rFonts w:ascii="Arial" w:hAnsi="Arial" w:hint="default"/>
      </w:rPr>
    </w:lvl>
    <w:lvl w:ilvl="1" w:tplc="D8548AE4" w:tentative="1">
      <w:start w:val="1"/>
      <w:numFmt w:val="bullet"/>
      <w:lvlText w:val="•"/>
      <w:lvlJc w:val="left"/>
      <w:pPr>
        <w:tabs>
          <w:tab w:val="num" w:pos="1440"/>
        </w:tabs>
        <w:ind w:left="1440" w:hanging="360"/>
      </w:pPr>
      <w:rPr>
        <w:rFonts w:ascii="Arial" w:hAnsi="Arial" w:hint="default"/>
      </w:rPr>
    </w:lvl>
    <w:lvl w:ilvl="2" w:tplc="E864EDB6" w:tentative="1">
      <w:start w:val="1"/>
      <w:numFmt w:val="bullet"/>
      <w:lvlText w:val="•"/>
      <w:lvlJc w:val="left"/>
      <w:pPr>
        <w:tabs>
          <w:tab w:val="num" w:pos="2160"/>
        </w:tabs>
        <w:ind w:left="2160" w:hanging="360"/>
      </w:pPr>
      <w:rPr>
        <w:rFonts w:ascii="Arial" w:hAnsi="Arial" w:hint="default"/>
      </w:rPr>
    </w:lvl>
    <w:lvl w:ilvl="3" w:tplc="09B2678A" w:tentative="1">
      <w:start w:val="1"/>
      <w:numFmt w:val="bullet"/>
      <w:lvlText w:val="•"/>
      <w:lvlJc w:val="left"/>
      <w:pPr>
        <w:tabs>
          <w:tab w:val="num" w:pos="2880"/>
        </w:tabs>
        <w:ind w:left="2880" w:hanging="360"/>
      </w:pPr>
      <w:rPr>
        <w:rFonts w:ascii="Arial" w:hAnsi="Arial" w:hint="default"/>
      </w:rPr>
    </w:lvl>
    <w:lvl w:ilvl="4" w:tplc="8DB4AE20" w:tentative="1">
      <w:start w:val="1"/>
      <w:numFmt w:val="bullet"/>
      <w:lvlText w:val="•"/>
      <w:lvlJc w:val="left"/>
      <w:pPr>
        <w:tabs>
          <w:tab w:val="num" w:pos="3600"/>
        </w:tabs>
        <w:ind w:left="3600" w:hanging="360"/>
      </w:pPr>
      <w:rPr>
        <w:rFonts w:ascii="Arial" w:hAnsi="Arial" w:hint="default"/>
      </w:rPr>
    </w:lvl>
    <w:lvl w:ilvl="5" w:tplc="B374DB54" w:tentative="1">
      <w:start w:val="1"/>
      <w:numFmt w:val="bullet"/>
      <w:lvlText w:val="•"/>
      <w:lvlJc w:val="left"/>
      <w:pPr>
        <w:tabs>
          <w:tab w:val="num" w:pos="4320"/>
        </w:tabs>
        <w:ind w:left="4320" w:hanging="360"/>
      </w:pPr>
      <w:rPr>
        <w:rFonts w:ascii="Arial" w:hAnsi="Arial" w:hint="default"/>
      </w:rPr>
    </w:lvl>
    <w:lvl w:ilvl="6" w:tplc="AC0A656A" w:tentative="1">
      <w:start w:val="1"/>
      <w:numFmt w:val="bullet"/>
      <w:lvlText w:val="•"/>
      <w:lvlJc w:val="left"/>
      <w:pPr>
        <w:tabs>
          <w:tab w:val="num" w:pos="5040"/>
        </w:tabs>
        <w:ind w:left="5040" w:hanging="360"/>
      </w:pPr>
      <w:rPr>
        <w:rFonts w:ascii="Arial" w:hAnsi="Arial" w:hint="default"/>
      </w:rPr>
    </w:lvl>
    <w:lvl w:ilvl="7" w:tplc="2422B82C" w:tentative="1">
      <w:start w:val="1"/>
      <w:numFmt w:val="bullet"/>
      <w:lvlText w:val="•"/>
      <w:lvlJc w:val="left"/>
      <w:pPr>
        <w:tabs>
          <w:tab w:val="num" w:pos="5760"/>
        </w:tabs>
        <w:ind w:left="5760" w:hanging="360"/>
      </w:pPr>
      <w:rPr>
        <w:rFonts w:ascii="Arial" w:hAnsi="Arial" w:hint="default"/>
      </w:rPr>
    </w:lvl>
    <w:lvl w:ilvl="8" w:tplc="0248ED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B2BF2"/>
    <w:multiLevelType w:val="multilevel"/>
    <w:tmpl w:val="606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630B41"/>
    <w:multiLevelType w:val="hybridMultilevel"/>
    <w:tmpl w:val="CD4E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B628B"/>
    <w:multiLevelType w:val="multilevel"/>
    <w:tmpl w:val="6F06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921DB9"/>
    <w:multiLevelType w:val="hybridMultilevel"/>
    <w:tmpl w:val="CEFC23F6"/>
    <w:lvl w:ilvl="0" w:tplc="15EA0C7C">
      <w:start w:val="1"/>
      <w:numFmt w:val="bullet"/>
      <w:lvlText w:val="•"/>
      <w:lvlJc w:val="left"/>
      <w:pPr>
        <w:tabs>
          <w:tab w:val="num" w:pos="1080"/>
        </w:tabs>
        <w:ind w:left="1080" w:hanging="360"/>
      </w:pPr>
      <w:rPr>
        <w:rFonts w:ascii="Arial" w:hAnsi="Arial" w:hint="default"/>
      </w:rPr>
    </w:lvl>
    <w:lvl w:ilvl="1" w:tplc="728A95C8" w:tentative="1">
      <w:start w:val="1"/>
      <w:numFmt w:val="bullet"/>
      <w:lvlText w:val="•"/>
      <w:lvlJc w:val="left"/>
      <w:pPr>
        <w:tabs>
          <w:tab w:val="num" w:pos="1800"/>
        </w:tabs>
        <w:ind w:left="1800" w:hanging="360"/>
      </w:pPr>
      <w:rPr>
        <w:rFonts w:ascii="Arial" w:hAnsi="Arial" w:hint="default"/>
      </w:rPr>
    </w:lvl>
    <w:lvl w:ilvl="2" w:tplc="9E46742A" w:tentative="1">
      <w:start w:val="1"/>
      <w:numFmt w:val="bullet"/>
      <w:lvlText w:val="•"/>
      <w:lvlJc w:val="left"/>
      <w:pPr>
        <w:tabs>
          <w:tab w:val="num" w:pos="2520"/>
        </w:tabs>
        <w:ind w:left="2520" w:hanging="360"/>
      </w:pPr>
      <w:rPr>
        <w:rFonts w:ascii="Arial" w:hAnsi="Arial" w:hint="default"/>
      </w:rPr>
    </w:lvl>
    <w:lvl w:ilvl="3" w:tplc="EDEE6976" w:tentative="1">
      <w:start w:val="1"/>
      <w:numFmt w:val="bullet"/>
      <w:lvlText w:val="•"/>
      <w:lvlJc w:val="left"/>
      <w:pPr>
        <w:tabs>
          <w:tab w:val="num" w:pos="3240"/>
        </w:tabs>
        <w:ind w:left="3240" w:hanging="360"/>
      </w:pPr>
      <w:rPr>
        <w:rFonts w:ascii="Arial" w:hAnsi="Arial" w:hint="default"/>
      </w:rPr>
    </w:lvl>
    <w:lvl w:ilvl="4" w:tplc="3FAE50AC" w:tentative="1">
      <w:start w:val="1"/>
      <w:numFmt w:val="bullet"/>
      <w:lvlText w:val="•"/>
      <w:lvlJc w:val="left"/>
      <w:pPr>
        <w:tabs>
          <w:tab w:val="num" w:pos="3960"/>
        </w:tabs>
        <w:ind w:left="3960" w:hanging="360"/>
      </w:pPr>
      <w:rPr>
        <w:rFonts w:ascii="Arial" w:hAnsi="Arial" w:hint="default"/>
      </w:rPr>
    </w:lvl>
    <w:lvl w:ilvl="5" w:tplc="38DCA948" w:tentative="1">
      <w:start w:val="1"/>
      <w:numFmt w:val="bullet"/>
      <w:lvlText w:val="•"/>
      <w:lvlJc w:val="left"/>
      <w:pPr>
        <w:tabs>
          <w:tab w:val="num" w:pos="4680"/>
        </w:tabs>
        <w:ind w:left="4680" w:hanging="360"/>
      </w:pPr>
      <w:rPr>
        <w:rFonts w:ascii="Arial" w:hAnsi="Arial" w:hint="default"/>
      </w:rPr>
    </w:lvl>
    <w:lvl w:ilvl="6" w:tplc="CD2472D8" w:tentative="1">
      <w:start w:val="1"/>
      <w:numFmt w:val="bullet"/>
      <w:lvlText w:val="•"/>
      <w:lvlJc w:val="left"/>
      <w:pPr>
        <w:tabs>
          <w:tab w:val="num" w:pos="5400"/>
        </w:tabs>
        <w:ind w:left="5400" w:hanging="360"/>
      </w:pPr>
      <w:rPr>
        <w:rFonts w:ascii="Arial" w:hAnsi="Arial" w:hint="default"/>
      </w:rPr>
    </w:lvl>
    <w:lvl w:ilvl="7" w:tplc="6BC62C20" w:tentative="1">
      <w:start w:val="1"/>
      <w:numFmt w:val="bullet"/>
      <w:lvlText w:val="•"/>
      <w:lvlJc w:val="left"/>
      <w:pPr>
        <w:tabs>
          <w:tab w:val="num" w:pos="6120"/>
        </w:tabs>
        <w:ind w:left="6120" w:hanging="360"/>
      </w:pPr>
      <w:rPr>
        <w:rFonts w:ascii="Arial" w:hAnsi="Arial" w:hint="default"/>
      </w:rPr>
    </w:lvl>
    <w:lvl w:ilvl="8" w:tplc="2368B84E"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544B0AD7"/>
    <w:multiLevelType w:val="hybridMultilevel"/>
    <w:tmpl w:val="8782F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74D4B"/>
    <w:multiLevelType w:val="hybridMultilevel"/>
    <w:tmpl w:val="0ABE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D02FE"/>
    <w:multiLevelType w:val="hybridMultilevel"/>
    <w:tmpl w:val="D194D05E"/>
    <w:lvl w:ilvl="0" w:tplc="65527DA8">
      <w:start w:val="1"/>
      <w:numFmt w:val="bullet"/>
      <w:lvlText w:val="•"/>
      <w:lvlJc w:val="left"/>
      <w:pPr>
        <w:tabs>
          <w:tab w:val="num" w:pos="1440"/>
        </w:tabs>
        <w:ind w:left="1440" w:hanging="360"/>
      </w:pPr>
      <w:rPr>
        <w:rFonts w:ascii="Arial" w:hAnsi="Arial" w:hint="default"/>
      </w:rPr>
    </w:lvl>
    <w:lvl w:ilvl="1" w:tplc="FFC49DAA" w:tentative="1">
      <w:start w:val="1"/>
      <w:numFmt w:val="bullet"/>
      <w:lvlText w:val="•"/>
      <w:lvlJc w:val="left"/>
      <w:pPr>
        <w:tabs>
          <w:tab w:val="num" w:pos="2160"/>
        </w:tabs>
        <w:ind w:left="2160" w:hanging="360"/>
      </w:pPr>
      <w:rPr>
        <w:rFonts w:ascii="Arial" w:hAnsi="Arial" w:hint="default"/>
      </w:rPr>
    </w:lvl>
    <w:lvl w:ilvl="2" w:tplc="20C8F234" w:tentative="1">
      <w:start w:val="1"/>
      <w:numFmt w:val="bullet"/>
      <w:lvlText w:val="•"/>
      <w:lvlJc w:val="left"/>
      <w:pPr>
        <w:tabs>
          <w:tab w:val="num" w:pos="2880"/>
        </w:tabs>
        <w:ind w:left="2880" w:hanging="360"/>
      </w:pPr>
      <w:rPr>
        <w:rFonts w:ascii="Arial" w:hAnsi="Arial" w:hint="default"/>
      </w:rPr>
    </w:lvl>
    <w:lvl w:ilvl="3" w:tplc="548856CC" w:tentative="1">
      <w:start w:val="1"/>
      <w:numFmt w:val="bullet"/>
      <w:lvlText w:val="•"/>
      <w:lvlJc w:val="left"/>
      <w:pPr>
        <w:tabs>
          <w:tab w:val="num" w:pos="3600"/>
        </w:tabs>
        <w:ind w:left="3600" w:hanging="360"/>
      </w:pPr>
      <w:rPr>
        <w:rFonts w:ascii="Arial" w:hAnsi="Arial" w:hint="default"/>
      </w:rPr>
    </w:lvl>
    <w:lvl w:ilvl="4" w:tplc="6A9A0794" w:tentative="1">
      <w:start w:val="1"/>
      <w:numFmt w:val="bullet"/>
      <w:lvlText w:val="•"/>
      <w:lvlJc w:val="left"/>
      <w:pPr>
        <w:tabs>
          <w:tab w:val="num" w:pos="4320"/>
        </w:tabs>
        <w:ind w:left="4320" w:hanging="360"/>
      </w:pPr>
      <w:rPr>
        <w:rFonts w:ascii="Arial" w:hAnsi="Arial" w:hint="default"/>
      </w:rPr>
    </w:lvl>
    <w:lvl w:ilvl="5" w:tplc="30C0A8F2" w:tentative="1">
      <w:start w:val="1"/>
      <w:numFmt w:val="bullet"/>
      <w:lvlText w:val="•"/>
      <w:lvlJc w:val="left"/>
      <w:pPr>
        <w:tabs>
          <w:tab w:val="num" w:pos="5040"/>
        </w:tabs>
        <w:ind w:left="5040" w:hanging="360"/>
      </w:pPr>
      <w:rPr>
        <w:rFonts w:ascii="Arial" w:hAnsi="Arial" w:hint="default"/>
      </w:rPr>
    </w:lvl>
    <w:lvl w:ilvl="6" w:tplc="E55A5E24" w:tentative="1">
      <w:start w:val="1"/>
      <w:numFmt w:val="bullet"/>
      <w:lvlText w:val="•"/>
      <w:lvlJc w:val="left"/>
      <w:pPr>
        <w:tabs>
          <w:tab w:val="num" w:pos="5760"/>
        </w:tabs>
        <w:ind w:left="5760" w:hanging="360"/>
      </w:pPr>
      <w:rPr>
        <w:rFonts w:ascii="Arial" w:hAnsi="Arial" w:hint="default"/>
      </w:rPr>
    </w:lvl>
    <w:lvl w:ilvl="7" w:tplc="0A7690C8" w:tentative="1">
      <w:start w:val="1"/>
      <w:numFmt w:val="bullet"/>
      <w:lvlText w:val="•"/>
      <w:lvlJc w:val="left"/>
      <w:pPr>
        <w:tabs>
          <w:tab w:val="num" w:pos="6480"/>
        </w:tabs>
        <w:ind w:left="6480" w:hanging="360"/>
      </w:pPr>
      <w:rPr>
        <w:rFonts w:ascii="Arial" w:hAnsi="Arial" w:hint="default"/>
      </w:rPr>
    </w:lvl>
    <w:lvl w:ilvl="8" w:tplc="E2F0D7D2"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7C30C75"/>
    <w:multiLevelType w:val="hybridMultilevel"/>
    <w:tmpl w:val="8AEE73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8331D"/>
    <w:multiLevelType w:val="hybridMultilevel"/>
    <w:tmpl w:val="52ECAE92"/>
    <w:lvl w:ilvl="0" w:tplc="AB54632C">
      <w:start w:val="1"/>
      <w:numFmt w:val="bullet"/>
      <w:lvlText w:val="•"/>
      <w:lvlJc w:val="left"/>
      <w:pPr>
        <w:tabs>
          <w:tab w:val="num" w:pos="1080"/>
        </w:tabs>
        <w:ind w:left="1080" w:hanging="360"/>
      </w:pPr>
      <w:rPr>
        <w:rFonts w:ascii="Arial" w:hAnsi="Arial" w:hint="default"/>
      </w:rPr>
    </w:lvl>
    <w:lvl w:ilvl="1" w:tplc="E78443BA" w:tentative="1">
      <w:start w:val="1"/>
      <w:numFmt w:val="bullet"/>
      <w:lvlText w:val="•"/>
      <w:lvlJc w:val="left"/>
      <w:pPr>
        <w:tabs>
          <w:tab w:val="num" w:pos="1800"/>
        </w:tabs>
        <w:ind w:left="1800" w:hanging="360"/>
      </w:pPr>
      <w:rPr>
        <w:rFonts w:ascii="Arial" w:hAnsi="Arial" w:hint="default"/>
      </w:rPr>
    </w:lvl>
    <w:lvl w:ilvl="2" w:tplc="B85E71A0" w:tentative="1">
      <w:start w:val="1"/>
      <w:numFmt w:val="bullet"/>
      <w:lvlText w:val="•"/>
      <w:lvlJc w:val="left"/>
      <w:pPr>
        <w:tabs>
          <w:tab w:val="num" w:pos="2520"/>
        </w:tabs>
        <w:ind w:left="2520" w:hanging="360"/>
      </w:pPr>
      <w:rPr>
        <w:rFonts w:ascii="Arial" w:hAnsi="Arial" w:hint="default"/>
      </w:rPr>
    </w:lvl>
    <w:lvl w:ilvl="3" w:tplc="998E7E56" w:tentative="1">
      <w:start w:val="1"/>
      <w:numFmt w:val="bullet"/>
      <w:lvlText w:val="•"/>
      <w:lvlJc w:val="left"/>
      <w:pPr>
        <w:tabs>
          <w:tab w:val="num" w:pos="3240"/>
        </w:tabs>
        <w:ind w:left="3240" w:hanging="360"/>
      </w:pPr>
      <w:rPr>
        <w:rFonts w:ascii="Arial" w:hAnsi="Arial" w:hint="default"/>
      </w:rPr>
    </w:lvl>
    <w:lvl w:ilvl="4" w:tplc="0F908380" w:tentative="1">
      <w:start w:val="1"/>
      <w:numFmt w:val="bullet"/>
      <w:lvlText w:val="•"/>
      <w:lvlJc w:val="left"/>
      <w:pPr>
        <w:tabs>
          <w:tab w:val="num" w:pos="3960"/>
        </w:tabs>
        <w:ind w:left="3960" w:hanging="360"/>
      </w:pPr>
      <w:rPr>
        <w:rFonts w:ascii="Arial" w:hAnsi="Arial" w:hint="default"/>
      </w:rPr>
    </w:lvl>
    <w:lvl w:ilvl="5" w:tplc="5720FE88" w:tentative="1">
      <w:start w:val="1"/>
      <w:numFmt w:val="bullet"/>
      <w:lvlText w:val="•"/>
      <w:lvlJc w:val="left"/>
      <w:pPr>
        <w:tabs>
          <w:tab w:val="num" w:pos="4680"/>
        </w:tabs>
        <w:ind w:left="4680" w:hanging="360"/>
      </w:pPr>
      <w:rPr>
        <w:rFonts w:ascii="Arial" w:hAnsi="Arial" w:hint="default"/>
      </w:rPr>
    </w:lvl>
    <w:lvl w:ilvl="6" w:tplc="34027E58" w:tentative="1">
      <w:start w:val="1"/>
      <w:numFmt w:val="bullet"/>
      <w:lvlText w:val="•"/>
      <w:lvlJc w:val="left"/>
      <w:pPr>
        <w:tabs>
          <w:tab w:val="num" w:pos="5400"/>
        </w:tabs>
        <w:ind w:left="5400" w:hanging="360"/>
      </w:pPr>
      <w:rPr>
        <w:rFonts w:ascii="Arial" w:hAnsi="Arial" w:hint="default"/>
      </w:rPr>
    </w:lvl>
    <w:lvl w:ilvl="7" w:tplc="94B44136" w:tentative="1">
      <w:start w:val="1"/>
      <w:numFmt w:val="bullet"/>
      <w:lvlText w:val="•"/>
      <w:lvlJc w:val="left"/>
      <w:pPr>
        <w:tabs>
          <w:tab w:val="num" w:pos="6120"/>
        </w:tabs>
        <w:ind w:left="6120" w:hanging="360"/>
      </w:pPr>
      <w:rPr>
        <w:rFonts w:ascii="Arial" w:hAnsi="Arial" w:hint="default"/>
      </w:rPr>
    </w:lvl>
    <w:lvl w:ilvl="8" w:tplc="4966534A"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600264FB"/>
    <w:multiLevelType w:val="multilevel"/>
    <w:tmpl w:val="62B8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2233D6"/>
    <w:multiLevelType w:val="hybridMultilevel"/>
    <w:tmpl w:val="AE50E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0E7944"/>
    <w:multiLevelType w:val="multilevel"/>
    <w:tmpl w:val="DF8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B63309"/>
    <w:multiLevelType w:val="hybridMultilevel"/>
    <w:tmpl w:val="B53A1C1C"/>
    <w:lvl w:ilvl="0" w:tplc="04090001">
      <w:start w:val="1"/>
      <w:numFmt w:val="bullet"/>
      <w:lvlText w:val=""/>
      <w:lvlJc w:val="left"/>
      <w:pPr>
        <w:ind w:left="720" w:hanging="360"/>
      </w:pPr>
      <w:rPr>
        <w:rFonts w:ascii="Symbol" w:hAnsi="Symbol" w:hint="default"/>
      </w:rPr>
    </w:lvl>
    <w:lvl w:ilvl="1" w:tplc="85F8034A">
      <w:numFmt w:val="bullet"/>
      <w:lvlText w:val="-"/>
      <w:lvlJc w:val="left"/>
      <w:pPr>
        <w:ind w:left="1440" w:hanging="360"/>
      </w:pPr>
      <w:rPr>
        <w:rFonts w:ascii="Cambria" w:eastAsia="Times New Roman"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35991"/>
    <w:multiLevelType w:val="hybridMultilevel"/>
    <w:tmpl w:val="0F327282"/>
    <w:lvl w:ilvl="0" w:tplc="04090001">
      <w:start w:val="1"/>
      <w:numFmt w:val="bullet"/>
      <w:lvlText w:val=""/>
      <w:lvlJc w:val="left"/>
      <w:pPr>
        <w:ind w:left="720" w:hanging="360"/>
      </w:pPr>
      <w:rPr>
        <w:rFonts w:ascii="Symbol" w:hAnsi="Symbol" w:hint="default"/>
      </w:rPr>
    </w:lvl>
    <w:lvl w:ilvl="1" w:tplc="85F8034A">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D5358"/>
    <w:multiLevelType w:val="singleLevel"/>
    <w:tmpl w:val="25CAFB60"/>
    <w:lvl w:ilvl="0">
      <w:start w:val="1"/>
      <w:numFmt w:val="decimal"/>
      <w:lvlText w:val="%1."/>
      <w:lvlJc w:val="left"/>
      <w:pPr>
        <w:tabs>
          <w:tab w:val="num" w:pos="360"/>
        </w:tabs>
        <w:ind w:left="360" w:hanging="360"/>
      </w:pPr>
      <w:rPr>
        <w:b w:val="0"/>
      </w:rPr>
    </w:lvl>
  </w:abstractNum>
  <w:abstractNum w:abstractNumId="34" w15:restartNumberingAfterBreak="0">
    <w:nsid w:val="753A140D"/>
    <w:multiLevelType w:val="hybridMultilevel"/>
    <w:tmpl w:val="C74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62482"/>
    <w:multiLevelType w:val="hybridMultilevel"/>
    <w:tmpl w:val="7A86F8F4"/>
    <w:lvl w:ilvl="0" w:tplc="6152E3D4">
      <w:start w:val="1"/>
      <w:numFmt w:val="bullet"/>
      <w:lvlText w:val="•"/>
      <w:lvlJc w:val="left"/>
      <w:pPr>
        <w:tabs>
          <w:tab w:val="num" w:pos="720"/>
        </w:tabs>
        <w:ind w:left="720" w:hanging="360"/>
      </w:pPr>
      <w:rPr>
        <w:rFonts w:ascii="Arial" w:hAnsi="Arial" w:hint="default"/>
      </w:rPr>
    </w:lvl>
    <w:lvl w:ilvl="1" w:tplc="F4A4BF74">
      <w:start w:val="1"/>
      <w:numFmt w:val="bullet"/>
      <w:lvlText w:val="•"/>
      <w:lvlJc w:val="left"/>
      <w:pPr>
        <w:tabs>
          <w:tab w:val="num" w:pos="1440"/>
        </w:tabs>
        <w:ind w:left="1440" w:hanging="360"/>
      </w:pPr>
      <w:rPr>
        <w:rFonts w:ascii="Arial" w:hAnsi="Arial" w:hint="default"/>
      </w:rPr>
    </w:lvl>
    <w:lvl w:ilvl="2" w:tplc="43B4AC16" w:tentative="1">
      <w:start w:val="1"/>
      <w:numFmt w:val="bullet"/>
      <w:lvlText w:val="•"/>
      <w:lvlJc w:val="left"/>
      <w:pPr>
        <w:tabs>
          <w:tab w:val="num" w:pos="2160"/>
        </w:tabs>
        <w:ind w:left="2160" w:hanging="360"/>
      </w:pPr>
      <w:rPr>
        <w:rFonts w:ascii="Arial" w:hAnsi="Arial" w:hint="default"/>
      </w:rPr>
    </w:lvl>
    <w:lvl w:ilvl="3" w:tplc="5720D5EA" w:tentative="1">
      <w:start w:val="1"/>
      <w:numFmt w:val="bullet"/>
      <w:lvlText w:val="•"/>
      <w:lvlJc w:val="left"/>
      <w:pPr>
        <w:tabs>
          <w:tab w:val="num" w:pos="2880"/>
        </w:tabs>
        <w:ind w:left="2880" w:hanging="360"/>
      </w:pPr>
      <w:rPr>
        <w:rFonts w:ascii="Arial" w:hAnsi="Arial" w:hint="default"/>
      </w:rPr>
    </w:lvl>
    <w:lvl w:ilvl="4" w:tplc="2570B382" w:tentative="1">
      <w:start w:val="1"/>
      <w:numFmt w:val="bullet"/>
      <w:lvlText w:val="•"/>
      <w:lvlJc w:val="left"/>
      <w:pPr>
        <w:tabs>
          <w:tab w:val="num" w:pos="3600"/>
        </w:tabs>
        <w:ind w:left="3600" w:hanging="360"/>
      </w:pPr>
      <w:rPr>
        <w:rFonts w:ascii="Arial" w:hAnsi="Arial" w:hint="default"/>
      </w:rPr>
    </w:lvl>
    <w:lvl w:ilvl="5" w:tplc="124EA32C" w:tentative="1">
      <w:start w:val="1"/>
      <w:numFmt w:val="bullet"/>
      <w:lvlText w:val="•"/>
      <w:lvlJc w:val="left"/>
      <w:pPr>
        <w:tabs>
          <w:tab w:val="num" w:pos="4320"/>
        </w:tabs>
        <w:ind w:left="4320" w:hanging="360"/>
      </w:pPr>
      <w:rPr>
        <w:rFonts w:ascii="Arial" w:hAnsi="Arial" w:hint="default"/>
      </w:rPr>
    </w:lvl>
    <w:lvl w:ilvl="6" w:tplc="431CDA6C" w:tentative="1">
      <w:start w:val="1"/>
      <w:numFmt w:val="bullet"/>
      <w:lvlText w:val="•"/>
      <w:lvlJc w:val="left"/>
      <w:pPr>
        <w:tabs>
          <w:tab w:val="num" w:pos="5040"/>
        </w:tabs>
        <w:ind w:left="5040" w:hanging="360"/>
      </w:pPr>
      <w:rPr>
        <w:rFonts w:ascii="Arial" w:hAnsi="Arial" w:hint="default"/>
      </w:rPr>
    </w:lvl>
    <w:lvl w:ilvl="7" w:tplc="19C6117C" w:tentative="1">
      <w:start w:val="1"/>
      <w:numFmt w:val="bullet"/>
      <w:lvlText w:val="•"/>
      <w:lvlJc w:val="left"/>
      <w:pPr>
        <w:tabs>
          <w:tab w:val="num" w:pos="5760"/>
        </w:tabs>
        <w:ind w:left="5760" w:hanging="360"/>
      </w:pPr>
      <w:rPr>
        <w:rFonts w:ascii="Arial" w:hAnsi="Arial" w:hint="default"/>
      </w:rPr>
    </w:lvl>
    <w:lvl w:ilvl="8" w:tplc="3F2607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162379"/>
    <w:multiLevelType w:val="multilevel"/>
    <w:tmpl w:val="3BF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3"/>
  </w:num>
  <w:num w:numId="3">
    <w:abstractNumId w:val="29"/>
  </w:num>
  <w:num w:numId="4">
    <w:abstractNumId w:val="32"/>
  </w:num>
  <w:num w:numId="5">
    <w:abstractNumId w:val="16"/>
  </w:num>
  <w:num w:numId="6">
    <w:abstractNumId w:val="31"/>
  </w:num>
  <w:num w:numId="7">
    <w:abstractNumId w:val="34"/>
  </w:num>
  <w:num w:numId="8">
    <w:abstractNumId w:val="24"/>
  </w:num>
  <w:num w:numId="9">
    <w:abstractNumId w:val="23"/>
  </w:num>
  <w:num w:numId="10">
    <w:abstractNumId w:val="2"/>
  </w:num>
  <w:num w:numId="11">
    <w:abstractNumId w:val="25"/>
  </w:num>
  <w:num w:numId="12">
    <w:abstractNumId w:val="27"/>
  </w:num>
  <w:num w:numId="13">
    <w:abstractNumId w:val="5"/>
  </w:num>
  <w:num w:numId="14">
    <w:abstractNumId w:val="18"/>
  </w:num>
  <w:num w:numId="15">
    <w:abstractNumId w:val="10"/>
  </w:num>
  <w:num w:numId="16">
    <w:abstractNumId w:val="22"/>
  </w:num>
  <w:num w:numId="17">
    <w:abstractNumId w:val="4"/>
  </w:num>
  <w:num w:numId="18">
    <w:abstractNumId w:val="14"/>
  </w:num>
  <w:num w:numId="19">
    <w:abstractNumId w:val="21"/>
  </w:num>
  <w:num w:numId="20">
    <w:abstractNumId w:val="28"/>
  </w:num>
  <w:num w:numId="21">
    <w:abstractNumId w:val="19"/>
  </w:num>
  <w:num w:numId="22">
    <w:abstractNumId w:val="8"/>
  </w:num>
  <w:num w:numId="23">
    <w:abstractNumId w:val="3"/>
  </w:num>
  <w:num w:numId="24">
    <w:abstractNumId w:val="9"/>
  </w:num>
  <w:num w:numId="25">
    <w:abstractNumId w:val="0"/>
  </w:num>
  <w:num w:numId="26">
    <w:abstractNumId w:val="13"/>
  </w:num>
  <w:num w:numId="27">
    <w:abstractNumId w:val="20"/>
  </w:num>
  <w:num w:numId="28">
    <w:abstractNumId w:val="17"/>
  </w:num>
  <w:num w:numId="29">
    <w:abstractNumId w:val="15"/>
  </w:num>
  <w:num w:numId="30">
    <w:abstractNumId w:val="6"/>
  </w:num>
  <w:num w:numId="31">
    <w:abstractNumId w:val="12"/>
  </w:num>
  <w:num w:numId="32">
    <w:abstractNumId w:val="7"/>
  </w:num>
  <w:num w:numId="33">
    <w:abstractNumId w:val="36"/>
  </w:num>
  <w:num w:numId="34">
    <w:abstractNumId w:val="30"/>
  </w:num>
  <w:num w:numId="35">
    <w:abstractNumId w:val="11"/>
  </w:num>
  <w:num w:numId="36">
    <w:abstractNumId w:val="3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E8"/>
    <w:rsid w:val="000055D5"/>
    <w:rsid w:val="00005BB3"/>
    <w:rsid w:val="00006DD8"/>
    <w:rsid w:val="000560C5"/>
    <w:rsid w:val="00061620"/>
    <w:rsid w:val="0007169D"/>
    <w:rsid w:val="000A3233"/>
    <w:rsid w:val="000C1309"/>
    <w:rsid w:val="000D6E01"/>
    <w:rsid w:val="000E268F"/>
    <w:rsid w:val="000F6D0E"/>
    <w:rsid w:val="0016610D"/>
    <w:rsid w:val="001831DE"/>
    <w:rsid w:val="001A3DDB"/>
    <w:rsid w:val="001A5DED"/>
    <w:rsid w:val="001C0DFA"/>
    <w:rsid w:val="001E56AD"/>
    <w:rsid w:val="00214950"/>
    <w:rsid w:val="002317C2"/>
    <w:rsid w:val="00246A7C"/>
    <w:rsid w:val="0025590A"/>
    <w:rsid w:val="00256B3E"/>
    <w:rsid w:val="002604C1"/>
    <w:rsid w:val="00283EC5"/>
    <w:rsid w:val="002959E8"/>
    <w:rsid w:val="002F6392"/>
    <w:rsid w:val="002F6DD6"/>
    <w:rsid w:val="003044AE"/>
    <w:rsid w:val="00313D11"/>
    <w:rsid w:val="00321C79"/>
    <w:rsid w:val="0033563A"/>
    <w:rsid w:val="0035164F"/>
    <w:rsid w:val="0036543F"/>
    <w:rsid w:val="00373D4F"/>
    <w:rsid w:val="00375A4D"/>
    <w:rsid w:val="00380D79"/>
    <w:rsid w:val="0038784C"/>
    <w:rsid w:val="003A4220"/>
    <w:rsid w:val="003B4CEB"/>
    <w:rsid w:val="003B62EF"/>
    <w:rsid w:val="003C7FD1"/>
    <w:rsid w:val="003E4705"/>
    <w:rsid w:val="003F1DF1"/>
    <w:rsid w:val="003F7662"/>
    <w:rsid w:val="00401BD2"/>
    <w:rsid w:val="00426028"/>
    <w:rsid w:val="00434723"/>
    <w:rsid w:val="00437EC2"/>
    <w:rsid w:val="00476DDE"/>
    <w:rsid w:val="004A389C"/>
    <w:rsid w:val="004A7F42"/>
    <w:rsid w:val="004C3706"/>
    <w:rsid w:val="004E6C53"/>
    <w:rsid w:val="004E7E04"/>
    <w:rsid w:val="005350D1"/>
    <w:rsid w:val="00564D1F"/>
    <w:rsid w:val="00585053"/>
    <w:rsid w:val="00590D1A"/>
    <w:rsid w:val="005B4255"/>
    <w:rsid w:val="005B5D39"/>
    <w:rsid w:val="005C04A3"/>
    <w:rsid w:val="005C3CE6"/>
    <w:rsid w:val="00607594"/>
    <w:rsid w:val="006108B5"/>
    <w:rsid w:val="006256D5"/>
    <w:rsid w:val="006420F4"/>
    <w:rsid w:val="006566D2"/>
    <w:rsid w:val="006B45E5"/>
    <w:rsid w:val="006B640C"/>
    <w:rsid w:val="006C1C46"/>
    <w:rsid w:val="006D2536"/>
    <w:rsid w:val="006D265D"/>
    <w:rsid w:val="006D76DC"/>
    <w:rsid w:val="006E04A5"/>
    <w:rsid w:val="006F117A"/>
    <w:rsid w:val="00710AEC"/>
    <w:rsid w:val="0075272E"/>
    <w:rsid w:val="00765816"/>
    <w:rsid w:val="00765EA1"/>
    <w:rsid w:val="007A02AE"/>
    <w:rsid w:val="007B5238"/>
    <w:rsid w:val="007E426A"/>
    <w:rsid w:val="007F236D"/>
    <w:rsid w:val="00814053"/>
    <w:rsid w:val="0081449C"/>
    <w:rsid w:val="00816DA4"/>
    <w:rsid w:val="00862E81"/>
    <w:rsid w:val="0089711A"/>
    <w:rsid w:val="008D46EC"/>
    <w:rsid w:val="008F6A08"/>
    <w:rsid w:val="00903478"/>
    <w:rsid w:val="009168E2"/>
    <w:rsid w:val="00916917"/>
    <w:rsid w:val="00924C52"/>
    <w:rsid w:val="0093370B"/>
    <w:rsid w:val="00945C23"/>
    <w:rsid w:val="0095318E"/>
    <w:rsid w:val="0096084C"/>
    <w:rsid w:val="00986218"/>
    <w:rsid w:val="00987C7E"/>
    <w:rsid w:val="009D5C32"/>
    <w:rsid w:val="00A05C53"/>
    <w:rsid w:val="00A32260"/>
    <w:rsid w:val="00A45CFB"/>
    <w:rsid w:val="00A67200"/>
    <w:rsid w:val="00A87815"/>
    <w:rsid w:val="00A878F8"/>
    <w:rsid w:val="00A975B7"/>
    <w:rsid w:val="00A97947"/>
    <w:rsid w:val="00AA260A"/>
    <w:rsid w:val="00AA600C"/>
    <w:rsid w:val="00AD17CD"/>
    <w:rsid w:val="00AF10C1"/>
    <w:rsid w:val="00B118C6"/>
    <w:rsid w:val="00B272CD"/>
    <w:rsid w:val="00B308FB"/>
    <w:rsid w:val="00B47010"/>
    <w:rsid w:val="00B536FB"/>
    <w:rsid w:val="00B61D65"/>
    <w:rsid w:val="00BB0625"/>
    <w:rsid w:val="00BB344B"/>
    <w:rsid w:val="00BB54AE"/>
    <w:rsid w:val="00BD46F1"/>
    <w:rsid w:val="00BD6DA2"/>
    <w:rsid w:val="00C1501C"/>
    <w:rsid w:val="00C219B7"/>
    <w:rsid w:val="00C4340E"/>
    <w:rsid w:val="00C565EB"/>
    <w:rsid w:val="00C65D45"/>
    <w:rsid w:val="00C86C1C"/>
    <w:rsid w:val="00CA004E"/>
    <w:rsid w:val="00CA11A9"/>
    <w:rsid w:val="00CA54F5"/>
    <w:rsid w:val="00CA5A19"/>
    <w:rsid w:val="00CB411E"/>
    <w:rsid w:val="00CC0817"/>
    <w:rsid w:val="00CD6725"/>
    <w:rsid w:val="00CE53FE"/>
    <w:rsid w:val="00D00697"/>
    <w:rsid w:val="00D3280E"/>
    <w:rsid w:val="00D337C2"/>
    <w:rsid w:val="00D349BC"/>
    <w:rsid w:val="00D749C1"/>
    <w:rsid w:val="00DC6734"/>
    <w:rsid w:val="00DE77DB"/>
    <w:rsid w:val="00E1779D"/>
    <w:rsid w:val="00E24105"/>
    <w:rsid w:val="00E34FA1"/>
    <w:rsid w:val="00E55698"/>
    <w:rsid w:val="00E62DE9"/>
    <w:rsid w:val="00E67CDD"/>
    <w:rsid w:val="00E70021"/>
    <w:rsid w:val="00E75779"/>
    <w:rsid w:val="00EA6B6B"/>
    <w:rsid w:val="00EA77DB"/>
    <w:rsid w:val="00EB215C"/>
    <w:rsid w:val="00EB29A6"/>
    <w:rsid w:val="00EE0AC4"/>
    <w:rsid w:val="00EE40D0"/>
    <w:rsid w:val="00EF5803"/>
    <w:rsid w:val="00F0582D"/>
    <w:rsid w:val="00F0603C"/>
    <w:rsid w:val="00F06FE8"/>
    <w:rsid w:val="00F131DD"/>
    <w:rsid w:val="00F20E5D"/>
    <w:rsid w:val="00F256AA"/>
    <w:rsid w:val="00F31AD6"/>
    <w:rsid w:val="00F35F78"/>
    <w:rsid w:val="00F56AFD"/>
    <w:rsid w:val="00F719CF"/>
    <w:rsid w:val="00F74C03"/>
    <w:rsid w:val="00F95A79"/>
    <w:rsid w:val="00FC192A"/>
    <w:rsid w:val="00FE72FC"/>
    <w:rsid w:val="00FF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96F514-28BB-4CAA-B3D2-DCC4148F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1C"/>
    <w:rPr>
      <w:rFonts w:ascii="CG Omega (PCL6)" w:hAnsi="CG Omega (PCL6)"/>
    </w:rPr>
  </w:style>
  <w:style w:type="paragraph" w:styleId="Heading1">
    <w:name w:val="heading 1"/>
    <w:basedOn w:val="Normal"/>
    <w:next w:val="Normal"/>
    <w:link w:val="Heading1Char"/>
    <w:qFormat/>
    <w:rsid w:val="00C1501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1501C"/>
    <w:pPr>
      <w:ind w:left="720"/>
    </w:pPr>
    <w:rPr>
      <w:caps/>
    </w:rPr>
  </w:style>
  <w:style w:type="character" w:styleId="CommentReference">
    <w:name w:val="annotation reference"/>
    <w:basedOn w:val="DefaultParagraphFont"/>
    <w:semiHidden/>
    <w:rsid w:val="00C1501C"/>
    <w:rPr>
      <w:sz w:val="16"/>
    </w:rPr>
  </w:style>
  <w:style w:type="paragraph" w:styleId="CommentText">
    <w:name w:val="annotation text"/>
    <w:basedOn w:val="Normal"/>
    <w:link w:val="CommentTextChar"/>
    <w:semiHidden/>
    <w:rsid w:val="00C1501C"/>
  </w:style>
  <w:style w:type="paragraph" w:styleId="ListParagraph">
    <w:name w:val="List Paragraph"/>
    <w:basedOn w:val="Normal"/>
    <w:uiPriority w:val="34"/>
    <w:qFormat/>
    <w:rsid w:val="005C04A3"/>
    <w:pPr>
      <w:ind w:left="720"/>
      <w:contextualSpacing/>
    </w:pPr>
  </w:style>
  <w:style w:type="paragraph" w:styleId="BalloonText">
    <w:name w:val="Balloon Text"/>
    <w:basedOn w:val="Normal"/>
    <w:link w:val="BalloonTextChar"/>
    <w:uiPriority w:val="99"/>
    <w:semiHidden/>
    <w:unhideWhenUsed/>
    <w:rsid w:val="00321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79"/>
    <w:rPr>
      <w:rFonts w:ascii="Segoe UI" w:hAnsi="Segoe UI" w:cs="Segoe UI"/>
      <w:sz w:val="18"/>
      <w:szCs w:val="18"/>
    </w:rPr>
  </w:style>
  <w:style w:type="paragraph" w:customStyle="1" w:styleId="NoSpacing1">
    <w:name w:val="No Spacing1"/>
    <w:uiPriority w:val="1"/>
    <w:qFormat/>
    <w:rsid w:val="00321C79"/>
    <w:rPr>
      <w:rFonts w:ascii="Calibri" w:eastAsia="Calibri" w:hAnsi="Calibri"/>
      <w:sz w:val="22"/>
      <w:szCs w:val="22"/>
    </w:rPr>
  </w:style>
  <w:style w:type="table" w:styleId="TableGrid">
    <w:name w:val="Table Grid"/>
    <w:basedOn w:val="TableNormal"/>
    <w:uiPriority w:val="59"/>
    <w:rsid w:val="0056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19CF"/>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5B4255"/>
    <w:rPr>
      <w:b/>
      <w:bCs/>
    </w:rPr>
  </w:style>
  <w:style w:type="character" w:customStyle="1" w:styleId="CommentTextChar">
    <w:name w:val="Comment Text Char"/>
    <w:basedOn w:val="DefaultParagraphFont"/>
    <w:link w:val="CommentText"/>
    <w:semiHidden/>
    <w:rsid w:val="005B4255"/>
    <w:rPr>
      <w:rFonts w:ascii="CG Omega (PCL6)" w:hAnsi="CG Omega (PCL6)"/>
    </w:rPr>
  </w:style>
  <w:style w:type="character" w:customStyle="1" w:styleId="CommentSubjectChar">
    <w:name w:val="Comment Subject Char"/>
    <w:basedOn w:val="CommentTextChar"/>
    <w:link w:val="CommentSubject"/>
    <w:uiPriority w:val="99"/>
    <w:semiHidden/>
    <w:rsid w:val="005B4255"/>
    <w:rPr>
      <w:rFonts w:ascii="CG Omega (PCL6)" w:hAnsi="CG Omega (PCL6)"/>
      <w:b/>
      <w:bCs/>
    </w:rPr>
  </w:style>
  <w:style w:type="paragraph" w:styleId="Revision">
    <w:name w:val="Revision"/>
    <w:hidden/>
    <w:uiPriority w:val="99"/>
    <w:semiHidden/>
    <w:rsid w:val="005B4255"/>
    <w:rPr>
      <w:rFonts w:ascii="CG Omega (PCL6)" w:hAnsi="CG Omega (PCL6)"/>
    </w:rPr>
  </w:style>
  <w:style w:type="character" w:styleId="Hyperlink">
    <w:name w:val="Hyperlink"/>
    <w:basedOn w:val="DefaultParagraphFont"/>
    <w:uiPriority w:val="99"/>
    <w:unhideWhenUsed/>
    <w:rsid w:val="00590D1A"/>
    <w:rPr>
      <w:color w:val="0000FF" w:themeColor="hyperlink"/>
      <w:u w:val="single"/>
    </w:rPr>
  </w:style>
  <w:style w:type="paragraph" w:styleId="Header">
    <w:name w:val="header"/>
    <w:basedOn w:val="Normal"/>
    <w:link w:val="HeaderChar"/>
    <w:uiPriority w:val="99"/>
    <w:unhideWhenUsed/>
    <w:rsid w:val="006B45E5"/>
    <w:pPr>
      <w:tabs>
        <w:tab w:val="center" w:pos="4680"/>
        <w:tab w:val="right" w:pos="9360"/>
      </w:tabs>
    </w:pPr>
  </w:style>
  <w:style w:type="character" w:customStyle="1" w:styleId="HeaderChar">
    <w:name w:val="Header Char"/>
    <w:basedOn w:val="DefaultParagraphFont"/>
    <w:link w:val="Header"/>
    <w:uiPriority w:val="99"/>
    <w:rsid w:val="006B45E5"/>
    <w:rPr>
      <w:rFonts w:ascii="CG Omega (PCL6)" w:hAnsi="CG Omega (PCL6)"/>
    </w:rPr>
  </w:style>
  <w:style w:type="paragraph" w:styleId="Footer">
    <w:name w:val="footer"/>
    <w:basedOn w:val="Normal"/>
    <w:link w:val="FooterChar"/>
    <w:uiPriority w:val="99"/>
    <w:unhideWhenUsed/>
    <w:rsid w:val="006B45E5"/>
    <w:pPr>
      <w:tabs>
        <w:tab w:val="center" w:pos="4680"/>
        <w:tab w:val="right" w:pos="9360"/>
      </w:tabs>
    </w:pPr>
  </w:style>
  <w:style w:type="character" w:customStyle="1" w:styleId="FooterChar">
    <w:name w:val="Footer Char"/>
    <w:basedOn w:val="DefaultParagraphFont"/>
    <w:link w:val="Footer"/>
    <w:uiPriority w:val="99"/>
    <w:rsid w:val="006B45E5"/>
    <w:rPr>
      <w:rFonts w:ascii="CG Omega (PCL6)" w:hAnsi="CG Omega (PCL6)"/>
    </w:rPr>
  </w:style>
  <w:style w:type="character" w:styleId="FollowedHyperlink">
    <w:name w:val="FollowedHyperlink"/>
    <w:basedOn w:val="DefaultParagraphFont"/>
    <w:uiPriority w:val="99"/>
    <w:semiHidden/>
    <w:unhideWhenUsed/>
    <w:rsid w:val="000055D5"/>
    <w:rPr>
      <w:color w:val="800080" w:themeColor="followedHyperlink"/>
      <w:u w:val="single"/>
    </w:rPr>
  </w:style>
  <w:style w:type="paragraph" w:customStyle="1" w:styleId="paragraph">
    <w:name w:val="paragraph"/>
    <w:basedOn w:val="Normal"/>
    <w:rsid w:val="00BD6DA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D6DA2"/>
  </w:style>
  <w:style w:type="character" w:customStyle="1" w:styleId="eop">
    <w:name w:val="eop"/>
    <w:basedOn w:val="DefaultParagraphFont"/>
    <w:rsid w:val="00BD6DA2"/>
  </w:style>
  <w:style w:type="paragraph" w:customStyle="1" w:styleId="Default">
    <w:name w:val="Default"/>
    <w:rsid w:val="00373D4F"/>
    <w:pPr>
      <w:autoSpaceDE w:val="0"/>
      <w:autoSpaceDN w:val="0"/>
      <w:adjustRightInd w:val="0"/>
    </w:pPr>
    <w:rPr>
      <w:rFonts w:ascii="Calibri" w:hAnsi="Calibri" w:cs="Calibri"/>
      <w:color w:val="000000"/>
      <w:sz w:val="24"/>
      <w:szCs w:val="24"/>
    </w:rPr>
  </w:style>
  <w:style w:type="paragraph" w:styleId="Caption">
    <w:name w:val="caption"/>
    <w:basedOn w:val="Normal"/>
    <w:next w:val="Normal"/>
    <w:uiPriority w:val="35"/>
    <w:unhideWhenUsed/>
    <w:qFormat/>
    <w:rsid w:val="00924C52"/>
    <w:pPr>
      <w:spacing w:after="200"/>
    </w:pPr>
    <w:rPr>
      <w:i/>
      <w:iCs/>
      <w:color w:val="1F497D" w:themeColor="text2"/>
      <w:sz w:val="18"/>
      <w:szCs w:val="18"/>
    </w:rPr>
  </w:style>
  <w:style w:type="table" w:styleId="PlainTable5">
    <w:name w:val="Plain Table 5"/>
    <w:basedOn w:val="TableNormal"/>
    <w:uiPriority w:val="45"/>
    <w:rsid w:val="00A878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878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6084C"/>
    <w:rPr>
      <w:rFonts w:ascii="CG Omega (PCL6)" w:hAnsi="CG Omega (PCL6)"/>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8551">
      <w:bodyDiv w:val="1"/>
      <w:marLeft w:val="0"/>
      <w:marRight w:val="0"/>
      <w:marTop w:val="0"/>
      <w:marBottom w:val="0"/>
      <w:divBdr>
        <w:top w:val="none" w:sz="0" w:space="0" w:color="auto"/>
        <w:left w:val="none" w:sz="0" w:space="0" w:color="auto"/>
        <w:bottom w:val="none" w:sz="0" w:space="0" w:color="auto"/>
        <w:right w:val="none" w:sz="0" w:space="0" w:color="auto"/>
      </w:divBdr>
      <w:divsChild>
        <w:div w:id="1083991945">
          <w:marLeft w:val="360"/>
          <w:marRight w:val="0"/>
          <w:marTop w:val="200"/>
          <w:marBottom w:val="0"/>
          <w:divBdr>
            <w:top w:val="none" w:sz="0" w:space="0" w:color="auto"/>
            <w:left w:val="none" w:sz="0" w:space="0" w:color="auto"/>
            <w:bottom w:val="none" w:sz="0" w:space="0" w:color="auto"/>
            <w:right w:val="none" w:sz="0" w:space="0" w:color="auto"/>
          </w:divBdr>
        </w:div>
        <w:div w:id="110781244">
          <w:marLeft w:val="360"/>
          <w:marRight w:val="0"/>
          <w:marTop w:val="200"/>
          <w:marBottom w:val="0"/>
          <w:divBdr>
            <w:top w:val="none" w:sz="0" w:space="0" w:color="auto"/>
            <w:left w:val="none" w:sz="0" w:space="0" w:color="auto"/>
            <w:bottom w:val="none" w:sz="0" w:space="0" w:color="auto"/>
            <w:right w:val="none" w:sz="0" w:space="0" w:color="auto"/>
          </w:divBdr>
        </w:div>
      </w:divsChild>
    </w:div>
    <w:div w:id="354964839">
      <w:bodyDiv w:val="1"/>
      <w:marLeft w:val="0"/>
      <w:marRight w:val="0"/>
      <w:marTop w:val="0"/>
      <w:marBottom w:val="0"/>
      <w:divBdr>
        <w:top w:val="none" w:sz="0" w:space="0" w:color="auto"/>
        <w:left w:val="none" w:sz="0" w:space="0" w:color="auto"/>
        <w:bottom w:val="none" w:sz="0" w:space="0" w:color="auto"/>
        <w:right w:val="none" w:sz="0" w:space="0" w:color="auto"/>
      </w:divBdr>
      <w:divsChild>
        <w:div w:id="977145714">
          <w:marLeft w:val="0"/>
          <w:marRight w:val="0"/>
          <w:marTop w:val="0"/>
          <w:marBottom w:val="0"/>
          <w:divBdr>
            <w:top w:val="none" w:sz="0" w:space="0" w:color="auto"/>
            <w:left w:val="none" w:sz="0" w:space="0" w:color="auto"/>
            <w:bottom w:val="none" w:sz="0" w:space="0" w:color="auto"/>
            <w:right w:val="none" w:sz="0" w:space="0" w:color="auto"/>
          </w:divBdr>
          <w:divsChild>
            <w:div w:id="1687712787">
              <w:marLeft w:val="0"/>
              <w:marRight w:val="0"/>
              <w:marTop w:val="0"/>
              <w:marBottom w:val="0"/>
              <w:divBdr>
                <w:top w:val="none" w:sz="0" w:space="0" w:color="auto"/>
                <w:left w:val="none" w:sz="0" w:space="0" w:color="auto"/>
                <w:bottom w:val="none" w:sz="0" w:space="0" w:color="auto"/>
                <w:right w:val="none" w:sz="0" w:space="0" w:color="auto"/>
              </w:divBdr>
              <w:divsChild>
                <w:div w:id="175771311">
                  <w:marLeft w:val="0"/>
                  <w:marRight w:val="0"/>
                  <w:marTop w:val="0"/>
                  <w:marBottom w:val="0"/>
                  <w:divBdr>
                    <w:top w:val="none" w:sz="0" w:space="0" w:color="auto"/>
                    <w:left w:val="none" w:sz="0" w:space="0" w:color="auto"/>
                    <w:bottom w:val="none" w:sz="0" w:space="0" w:color="auto"/>
                    <w:right w:val="none" w:sz="0" w:space="0" w:color="auto"/>
                  </w:divBdr>
                  <w:divsChild>
                    <w:div w:id="10649012">
                      <w:marLeft w:val="0"/>
                      <w:marRight w:val="0"/>
                      <w:marTop w:val="0"/>
                      <w:marBottom w:val="0"/>
                      <w:divBdr>
                        <w:top w:val="none" w:sz="0" w:space="0" w:color="auto"/>
                        <w:left w:val="none" w:sz="0" w:space="0" w:color="auto"/>
                        <w:bottom w:val="none" w:sz="0" w:space="0" w:color="auto"/>
                        <w:right w:val="none" w:sz="0" w:space="0" w:color="auto"/>
                      </w:divBdr>
                      <w:divsChild>
                        <w:div w:id="19417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44648">
      <w:bodyDiv w:val="1"/>
      <w:marLeft w:val="0"/>
      <w:marRight w:val="0"/>
      <w:marTop w:val="0"/>
      <w:marBottom w:val="0"/>
      <w:divBdr>
        <w:top w:val="none" w:sz="0" w:space="0" w:color="auto"/>
        <w:left w:val="none" w:sz="0" w:space="0" w:color="auto"/>
        <w:bottom w:val="none" w:sz="0" w:space="0" w:color="auto"/>
        <w:right w:val="none" w:sz="0" w:space="0" w:color="auto"/>
      </w:divBdr>
    </w:div>
    <w:div w:id="500656157">
      <w:bodyDiv w:val="1"/>
      <w:marLeft w:val="0"/>
      <w:marRight w:val="0"/>
      <w:marTop w:val="0"/>
      <w:marBottom w:val="0"/>
      <w:divBdr>
        <w:top w:val="none" w:sz="0" w:space="0" w:color="auto"/>
        <w:left w:val="none" w:sz="0" w:space="0" w:color="auto"/>
        <w:bottom w:val="none" w:sz="0" w:space="0" w:color="auto"/>
        <w:right w:val="none" w:sz="0" w:space="0" w:color="auto"/>
      </w:divBdr>
      <w:divsChild>
        <w:div w:id="364408320">
          <w:marLeft w:val="360"/>
          <w:marRight w:val="0"/>
          <w:marTop w:val="200"/>
          <w:marBottom w:val="0"/>
          <w:divBdr>
            <w:top w:val="none" w:sz="0" w:space="0" w:color="auto"/>
            <w:left w:val="none" w:sz="0" w:space="0" w:color="auto"/>
            <w:bottom w:val="none" w:sz="0" w:space="0" w:color="auto"/>
            <w:right w:val="none" w:sz="0" w:space="0" w:color="auto"/>
          </w:divBdr>
        </w:div>
      </w:divsChild>
    </w:div>
    <w:div w:id="639263051">
      <w:bodyDiv w:val="1"/>
      <w:marLeft w:val="0"/>
      <w:marRight w:val="0"/>
      <w:marTop w:val="0"/>
      <w:marBottom w:val="0"/>
      <w:divBdr>
        <w:top w:val="none" w:sz="0" w:space="0" w:color="auto"/>
        <w:left w:val="none" w:sz="0" w:space="0" w:color="auto"/>
        <w:bottom w:val="none" w:sz="0" w:space="0" w:color="auto"/>
        <w:right w:val="none" w:sz="0" w:space="0" w:color="auto"/>
      </w:divBdr>
      <w:divsChild>
        <w:div w:id="1681155160">
          <w:marLeft w:val="360"/>
          <w:marRight w:val="0"/>
          <w:marTop w:val="120"/>
          <w:marBottom w:val="120"/>
          <w:divBdr>
            <w:top w:val="none" w:sz="0" w:space="0" w:color="auto"/>
            <w:left w:val="none" w:sz="0" w:space="0" w:color="auto"/>
            <w:bottom w:val="none" w:sz="0" w:space="0" w:color="auto"/>
            <w:right w:val="none" w:sz="0" w:space="0" w:color="auto"/>
          </w:divBdr>
        </w:div>
      </w:divsChild>
    </w:div>
    <w:div w:id="715468333">
      <w:bodyDiv w:val="1"/>
      <w:marLeft w:val="0"/>
      <w:marRight w:val="0"/>
      <w:marTop w:val="0"/>
      <w:marBottom w:val="0"/>
      <w:divBdr>
        <w:top w:val="none" w:sz="0" w:space="0" w:color="auto"/>
        <w:left w:val="none" w:sz="0" w:space="0" w:color="auto"/>
        <w:bottom w:val="none" w:sz="0" w:space="0" w:color="auto"/>
        <w:right w:val="none" w:sz="0" w:space="0" w:color="auto"/>
      </w:divBdr>
      <w:divsChild>
        <w:div w:id="554852660">
          <w:marLeft w:val="360"/>
          <w:marRight w:val="0"/>
          <w:marTop w:val="200"/>
          <w:marBottom w:val="0"/>
          <w:divBdr>
            <w:top w:val="none" w:sz="0" w:space="0" w:color="auto"/>
            <w:left w:val="none" w:sz="0" w:space="0" w:color="auto"/>
            <w:bottom w:val="none" w:sz="0" w:space="0" w:color="auto"/>
            <w:right w:val="none" w:sz="0" w:space="0" w:color="auto"/>
          </w:divBdr>
        </w:div>
      </w:divsChild>
    </w:div>
    <w:div w:id="825130834">
      <w:bodyDiv w:val="1"/>
      <w:marLeft w:val="0"/>
      <w:marRight w:val="0"/>
      <w:marTop w:val="0"/>
      <w:marBottom w:val="0"/>
      <w:divBdr>
        <w:top w:val="none" w:sz="0" w:space="0" w:color="auto"/>
        <w:left w:val="none" w:sz="0" w:space="0" w:color="auto"/>
        <w:bottom w:val="none" w:sz="0" w:space="0" w:color="auto"/>
        <w:right w:val="none" w:sz="0" w:space="0" w:color="auto"/>
      </w:divBdr>
      <w:divsChild>
        <w:div w:id="1681614103">
          <w:marLeft w:val="734"/>
          <w:marRight w:val="0"/>
          <w:marTop w:val="240"/>
          <w:marBottom w:val="0"/>
          <w:divBdr>
            <w:top w:val="none" w:sz="0" w:space="0" w:color="auto"/>
            <w:left w:val="none" w:sz="0" w:space="0" w:color="auto"/>
            <w:bottom w:val="none" w:sz="0" w:space="0" w:color="auto"/>
            <w:right w:val="none" w:sz="0" w:space="0" w:color="auto"/>
          </w:divBdr>
        </w:div>
        <w:div w:id="1347977064">
          <w:marLeft w:val="734"/>
          <w:marRight w:val="0"/>
          <w:marTop w:val="240"/>
          <w:marBottom w:val="0"/>
          <w:divBdr>
            <w:top w:val="none" w:sz="0" w:space="0" w:color="auto"/>
            <w:left w:val="none" w:sz="0" w:space="0" w:color="auto"/>
            <w:bottom w:val="none" w:sz="0" w:space="0" w:color="auto"/>
            <w:right w:val="none" w:sz="0" w:space="0" w:color="auto"/>
          </w:divBdr>
        </w:div>
        <w:div w:id="1197618519">
          <w:marLeft w:val="734"/>
          <w:marRight w:val="0"/>
          <w:marTop w:val="240"/>
          <w:marBottom w:val="0"/>
          <w:divBdr>
            <w:top w:val="none" w:sz="0" w:space="0" w:color="auto"/>
            <w:left w:val="none" w:sz="0" w:space="0" w:color="auto"/>
            <w:bottom w:val="none" w:sz="0" w:space="0" w:color="auto"/>
            <w:right w:val="none" w:sz="0" w:space="0" w:color="auto"/>
          </w:divBdr>
        </w:div>
        <w:div w:id="2036080280">
          <w:marLeft w:val="734"/>
          <w:marRight w:val="0"/>
          <w:marTop w:val="240"/>
          <w:marBottom w:val="0"/>
          <w:divBdr>
            <w:top w:val="none" w:sz="0" w:space="0" w:color="auto"/>
            <w:left w:val="none" w:sz="0" w:space="0" w:color="auto"/>
            <w:bottom w:val="none" w:sz="0" w:space="0" w:color="auto"/>
            <w:right w:val="none" w:sz="0" w:space="0" w:color="auto"/>
          </w:divBdr>
        </w:div>
        <w:div w:id="2010208780">
          <w:marLeft w:val="734"/>
          <w:marRight w:val="0"/>
          <w:marTop w:val="240"/>
          <w:marBottom w:val="0"/>
          <w:divBdr>
            <w:top w:val="none" w:sz="0" w:space="0" w:color="auto"/>
            <w:left w:val="none" w:sz="0" w:space="0" w:color="auto"/>
            <w:bottom w:val="none" w:sz="0" w:space="0" w:color="auto"/>
            <w:right w:val="none" w:sz="0" w:space="0" w:color="auto"/>
          </w:divBdr>
        </w:div>
        <w:div w:id="576327564">
          <w:marLeft w:val="734"/>
          <w:marRight w:val="0"/>
          <w:marTop w:val="240"/>
          <w:marBottom w:val="0"/>
          <w:divBdr>
            <w:top w:val="none" w:sz="0" w:space="0" w:color="auto"/>
            <w:left w:val="none" w:sz="0" w:space="0" w:color="auto"/>
            <w:bottom w:val="none" w:sz="0" w:space="0" w:color="auto"/>
            <w:right w:val="none" w:sz="0" w:space="0" w:color="auto"/>
          </w:divBdr>
        </w:div>
        <w:div w:id="2049841415">
          <w:marLeft w:val="734"/>
          <w:marRight w:val="0"/>
          <w:marTop w:val="240"/>
          <w:marBottom w:val="0"/>
          <w:divBdr>
            <w:top w:val="none" w:sz="0" w:space="0" w:color="auto"/>
            <w:left w:val="none" w:sz="0" w:space="0" w:color="auto"/>
            <w:bottom w:val="none" w:sz="0" w:space="0" w:color="auto"/>
            <w:right w:val="none" w:sz="0" w:space="0" w:color="auto"/>
          </w:divBdr>
        </w:div>
      </w:divsChild>
    </w:div>
    <w:div w:id="1092161469">
      <w:bodyDiv w:val="1"/>
      <w:marLeft w:val="0"/>
      <w:marRight w:val="0"/>
      <w:marTop w:val="0"/>
      <w:marBottom w:val="0"/>
      <w:divBdr>
        <w:top w:val="none" w:sz="0" w:space="0" w:color="auto"/>
        <w:left w:val="none" w:sz="0" w:space="0" w:color="auto"/>
        <w:bottom w:val="none" w:sz="0" w:space="0" w:color="auto"/>
        <w:right w:val="none" w:sz="0" w:space="0" w:color="auto"/>
      </w:divBdr>
    </w:div>
    <w:div w:id="1133983923">
      <w:bodyDiv w:val="1"/>
      <w:marLeft w:val="0"/>
      <w:marRight w:val="0"/>
      <w:marTop w:val="0"/>
      <w:marBottom w:val="0"/>
      <w:divBdr>
        <w:top w:val="none" w:sz="0" w:space="0" w:color="auto"/>
        <w:left w:val="none" w:sz="0" w:space="0" w:color="auto"/>
        <w:bottom w:val="none" w:sz="0" w:space="0" w:color="auto"/>
        <w:right w:val="none" w:sz="0" w:space="0" w:color="auto"/>
      </w:divBdr>
      <w:divsChild>
        <w:div w:id="1393777194">
          <w:marLeft w:val="360"/>
          <w:marRight w:val="0"/>
          <w:marTop w:val="200"/>
          <w:marBottom w:val="0"/>
          <w:divBdr>
            <w:top w:val="none" w:sz="0" w:space="0" w:color="auto"/>
            <w:left w:val="none" w:sz="0" w:space="0" w:color="auto"/>
            <w:bottom w:val="none" w:sz="0" w:space="0" w:color="auto"/>
            <w:right w:val="none" w:sz="0" w:space="0" w:color="auto"/>
          </w:divBdr>
        </w:div>
        <w:div w:id="37361784">
          <w:marLeft w:val="360"/>
          <w:marRight w:val="0"/>
          <w:marTop w:val="200"/>
          <w:marBottom w:val="0"/>
          <w:divBdr>
            <w:top w:val="none" w:sz="0" w:space="0" w:color="auto"/>
            <w:left w:val="none" w:sz="0" w:space="0" w:color="auto"/>
            <w:bottom w:val="none" w:sz="0" w:space="0" w:color="auto"/>
            <w:right w:val="none" w:sz="0" w:space="0" w:color="auto"/>
          </w:divBdr>
        </w:div>
      </w:divsChild>
    </w:div>
    <w:div w:id="1168398981">
      <w:bodyDiv w:val="1"/>
      <w:marLeft w:val="0"/>
      <w:marRight w:val="0"/>
      <w:marTop w:val="0"/>
      <w:marBottom w:val="0"/>
      <w:divBdr>
        <w:top w:val="none" w:sz="0" w:space="0" w:color="auto"/>
        <w:left w:val="none" w:sz="0" w:space="0" w:color="auto"/>
        <w:bottom w:val="none" w:sz="0" w:space="0" w:color="auto"/>
        <w:right w:val="none" w:sz="0" w:space="0" w:color="auto"/>
      </w:divBdr>
    </w:div>
    <w:div w:id="1209532425">
      <w:bodyDiv w:val="1"/>
      <w:marLeft w:val="0"/>
      <w:marRight w:val="0"/>
      <w:marTop w:val="0"/>
      <w:marBottom w:val="0"/>
      <w:divBdr>
        <w:top w:val="none" w:sz="0" w:space="0" w:color="auto"/>
        <w:left w:val="none" w:sz="0" w:space="0" w:color="auto"/>
        <w:bottom w:val="none" w:sz="0" w:space="0" w:color="auto"/>
        <w:right w:val="none" w:sz="0" w:space="0" w:color="auto"/>
      </w:divBdr>
      <w:divsChild>
        <w:div w:id="645431000">
          <w:marLeft w:val="0"/>
          <w:marRight w:val="0"/>
          <w:marTop w:val="0"/>
          <w:marBottom w:val="0"/>
          <w:divBdr>
            <w:top w:val="none" w:sz="0" w:space="0" w:color="auto"/>
            <w:left w:val="none" w:sz="0" w:space="0" w:color="auto"/>
            <w:bottom w:val="none" w:sz="0" w:space="0" w:color="auto"/>
            <w:right w:val="none" w:sz="0" w:space="0" w:color="auto"/>
          </w:divBdr>
        </w:div>
        <w:div w:id="1270504710">
          <w:marLeft w:val="0"/>
          <w:marRight w:val="0"/>
          <w:marTop w:val="0"/>
          <w:marBottom w:val="0"/>
          <w:divBdr>
            <w:top w:val="none" w:sz="0" w:space="0" w:color="auto"/>
            <w:left w:val="none" w:sz="0" w:space="0" w:color="auto"/>
            <w:bottom w:val="none" w:sz="0" w:space="0" w:color="auto"/>
            <w:right w:val="none" w:sz="0" w:space="0" w:color="auto"/>
          </w:divBdr>
        </w:div>
        <w:div w:id="1154103148">
          <w:marLeft w:val="0"/>
          <w:marRight w:val="0"/>
          <w:marTop w:val="0"/>
          <w:marBottom w:val="0"/>
          <w:divBdr>
            <w:top w:val="none" w:sz="0" w:space="0" w:color="auto"/>
            <w:left w:val="none" w:sz="0" w:space="0" w:color="auto"/>
            <w:bottom w:val="none" w:sz="0" w:space="0" w:color="auto"/>
            <w:right w:val="none" w:sz="0" w:space="0" w:color="auto"/>
          </w:divBdr>
        </w:div>
        <w:div w:id="985548434">
          <w:marLeft w:val="0"/>
          <w:marRight w:val="0"/>
          <w:marTop w:val="0"/>
          <w:marBottom w:val="0"/>
          <w:divBdr>
            <w:top w:val="none" w:sz="0" w:space="0" w:color="auto"/>
            <w:left w:val="none" w:sz="0" w:space="0" w:color="auto"/>
            <w:bottom w:val="none" w:sz="0" w:space="0" w:color="auto"/>
            <w:right w:val="none" w:sz="0" w:space="0" w:color="auto"/>
          </w:divBdr>
        </w:div>
        <w:div w:id="112675789">
          <w:marLeft w:val="0"/>
          <w:marRight w:val="0"/>
          <w:marTop w:val="0"/>
          <w:marBottom w:val="0"/>
          <w:divBdr>
            <w:top w:val="none" w:sz="0" w:space="0" w:color="auto"/>
            <w:left w:val="none" w:sz="0" w:space="0" w:color="auto"/>
            <w:bottom w:val="none" w:sz="0" w:space="0" w:color="auto"/>
            <w:right w:val="none" w:sz="0" w:space="0" w:color="auto"/>
          </w:divBdr>
        </w:div>
        <w:div w:id="334849313">
          <w:marLeft w:val="0"/>
          <w:marRight w:val="0"/>
          <w:marTop w:val="0"/>
          <w:marBottom w:val="0"/>
          <w:divBdr>
            <w:top w:val="none" w:sz="0" w:space="0" w:color="auto"/>
            <w:left w:val="none" w:sz="0" w:space="0" w:color="auto"/>
            <w:bottom w:val="none" w:sz="0" w:space="0" w:color="auto"/>
            <w:right w:val="none" w:sz="0" w:space="0" w:color="auto"/>
          </w:divBdr>
        </w:div>
        <w:div w:id="1977253621">
          <w:marLeft w:val="0"/>
          <w:marRight w:val="0"/>
          <w:marTop w:val="0"/>
          <w:marBottom w:val="0"/>
          <w:divBdr>
            <w:top w:val="none" w:sz="0" w:space="0" w:color="auto"/>
            <w:left w:val="none" w:sz="0" w:space="0" w:color="auto"/>
            <w:bottom w:val="none" w:sz="0" w:space="0" w:color="auto"/>
            <w:right w:val="none" w:sz="0" w:space="0" w:color="auto"/>
          </w:divBdr>
        </w:div>
        <w:div w:id="856163946">
          <w:marLeft w:val="0"/>
          <w:marRight w:val="0"/>
          <w:marTop w:val="0"/>
          <w:marBottom w:val="0"/>
          <w:divBdr>
            <w:top w:val="none" w:sz="0" w:space="0" w:color="auto"/>
            <w:left w:val="none" w:sz="0" w:space="0" w:color="auto"/>
            <w:bottom w:val="none" w:sz="0" w:space="0" w:color="auto"/>
            <w:right w:val="none" w:sz="0" w:space="0" w:color="auto"/>
          </w:divBdr>
        </w:div>
        <w:div w:id="309482499">
          <w:marLeft w:val="0"/>
          <w:marRight w:val="0"/>
          <w:marTop w:val="0"/>
          <w:marBottom w:val="0"/>
          <w:divBdr>
            <w:top w:val="none" w:sz="0" w:space="0" w:color="auto"/>
            <w:left w:val="none" w:sz="0" w:space="0" w:color="auto"/>
            <w:bottom w:val="none" w:sz="0" w:space="0" w:color="auto"/>
            <w:right w:val="none" w:sz="0" w:space="0" w:color="auto"/>
          </w:divBdr>
        </w:div>
        <w:div w:id="473180904">
          <w:marLeft w:val="0"/>
          <w:marRight w:val="0"/>
          <w:marTop w:val="0"/>
          <w:marBottom w:val="0"/>
          <w:divBdr>
            <w:top w:val="none" w:sz="0" w:space="0" w:color="auto"/>
            <w:left w:val="none" w:sz="0" w:space="0" w:color="auto"/>
            <w:bottom w:val="none" w:sz="0" w:space="0" w:color="auto"/>
            <w:right w:val="none" w:sz="0" w:space="0" w:color="auto"/>
          </w:divBdr>
        </w:div>
        <w:div w:id="297347522">
          <w:marLeft w:val="0"/>
          <w:marRight w:val="0"/>
          <w:marTop w:val="0"/>
          <w:marBottom w:val="0"/>
          <w:divBdr>
            <w:top w:val="none" w:sz="0" w:space="0" w:color="auto"/>
            <w:left w:val="none" w:sz="0" w:space="0" w:color="auto"/>
            <w:bottom w:val="none" w:sz="0" w:space="0" w:color="auto"/>
            <w:right w:val="none" w:sz="0" w:space="0" w:color="auto"/>
          </w:divBdr>
        </w:div>
        <w:div w:id="355664403">
          <w:marLeft w:val="0"/>
          <w:marRight w:val="0"/>
          <w:marTop w:val="0"/>
          <w:marBottom w:val="0"/>
          <w:divBdr>
            <w:top w:val="none" w:sz="0" w:space="0" w:color="auto"/>
            <w:left w:val="none" w:sz="0" w:space="0" w:color="auto"/>
            <w:bottom w:val="none" w:sz="0" w:space="0" w:color="auto"/>
            <w:right w:val="none" w:sz="0" w:space="0" w:color="auto"/>
          </w:divBdr>
        </w:div>
        <w:div w:id="2111270733">
          <w:marLeft w:val="0"/>
          <w:marRight w:val="0"/>
          <w:marTop w:val="0"/>
          <w:marBottom w:val="0"/>
          <w:divBdr>
            <w:top w:val="none" w:sz="0" w:space="0" w:color="auto"/>
            <w:left w:val="none" w:sz="0" w:space="0" w:color="auto"/>
            <w:bottom w:val="none" w:sz="0" w:space="0" w:color="auto"/>
            <w:right w:val="none" w:sz="0" w:space="0" w:color="auto"/>
          </w:divBdr>
        </w:div>
        <w:div w:id="353382218">
          <w:marLeft w:val="0"/>
          <w:marRight w:val="0"/>
          <w:marTop w:val="0"/>
          <w:marBottom w:val="0"/>
          <w:divBdr>
            <w:top w:val="none" w:sz="0" w:space="0" w:color="auto"/>
            <w:left w:val="none" w:sz="0" w:space="0" w:color="auto"/>
            <w:bottom w:val="none" w:sz="0" w:space="0" w:color="auto"/>
            <w:right w:val="none" w:sz="0" w:space="0" w:color="auto"/>
          </w:divBdr>
        </w:div>
        <w:div w:id="1130707111">
          <w:marLeft w:val="0"/>
          <w:marRight w:val="0"/>
          <w:marTop w:val="0"/>
          <w:marBottom w:val="0"/>
          <w:divBdr>
            <w:top w:val="none" w:sz="0" w:space="0" w:color="auto"/>
            <w:left w:val="none" w:sz="0" w:space="0" w:color="auto"/>
            <w:bottom w:val="none" w:sz="0" w:space="0" w:color="auto"/>
            <w:right w:val="none" w:sz="0" w:space="0" w:color="auto"/>
          </w:divBdr>
        </w:div>
        <w:div w:id="1379667855">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 w:id="1495876503">
          <w:marLeft w:val="0"/>
          <w:marRight w:val="0"/>
          <w:marTop w:val="0"/>
          <w:marBottom w:val="0"/>
          <w:divBdr>
            <w:top w:val="none" w:sz="0" w:space="0" w:color="auto"/>
            <w:left w:val="none" w:sz="0" w:space="0" w:color="auto"/>
            <w:bottom w:val="none" w:sz="0" w:space="0" w:color="auto"/>
            <w:right w:val="none" w:sz="0" w:space="0" w:color="auto"/>
          </w:divBdr>
        </w:div>
        <w:div w:id="93524688">
          <w:marLeft w:val="0"/>
          <w:marRight w:val="0"/>
          <w:marTop w:val="0"/>
          <w:marBottom w:val="0"/>
          <w:divBdr>
            <w:top w:val="none" w:sz="0" w:space="0" w:color="auto"/>
            <w:left w:val="none" w:sz="0" w:space="0" w:color="auto"/>
            <w:bottom w:val="none" w:sz="0" w:space="0" w:color="auto"/>
            <w:right w:val="none" w:sz="0" w:space="0" w:color="auto"/>
          </w:divBdr>
        </w:div>
        <w:div w:id="1714692410">
          <w:marLeft w:val="0"/>
          <w:marRight w:val="0"/>
          <w:marTop w:val="0"/>
          <w:marBottom w:val="0"/>
          <w:divBdr>
            <w:top w:val="none" w:sz="0" w:space="0" w:color="auto"/>
            <w:left w:val="none" w:sz="0" w:space="0" w:color="auto"/>
            <w:bottom w:val="none" w:sz="0" w:space="0" w:color="auto"/>
            <w:right w:val="none" w:sz="0" w:space="0" w:color="auto"/>
          </w:divBdr>
        </w:div>
      </w:divsChild>
    </w:div>
    <w:div w:id="1426220318">
      <w:bodyDiv w:val="1"/>
      <w:marLeft w:val="0"/>
      <w:marRight w:val="0"/>
      <w:marTop w:val="0"/>
      <w:marBottom w:val="0"/>
      <w:divBdr>
        <w:top w:val="none" w:sz="0" w:space="0" w:color="auto"/>
        <w:left w:val="none" w:sz="0" w:space="0" w:color="auto"/>
        <w:bottom w:val="none" w:sz="0" w:space="0" w:color="auto"/>
        <w:right w:val="none" w:sz="0" w:space="0" w:color="auto"/>
      </w:divBdr>
    </w:div>
    <w:div w:id="1497187528">
      <w:bodyDiv w:val="1"/>
      <w:marLeft w:val="0"/>
      <w:marRight w:val="0"/>
      <w:marTop w:val="0"/>
      <w:marBottom w:val="0"/>
      <w:divBdr>
        <w:top w:val="none" w:sz="0" w:space="0" w:color="auto"/>
        <w:left w:val="none" w:sz="0" w:space="0" w:color="auto"/>
        <w:bottom w:val="none" w:sz="0" w:space="0" w:color="auto"/>
        <w:right w:val="none" w:sz="0" w:space="0" w:color="auto"/>
      </w:divBdr>
      <w:divsChild>
        <w:div w:id="1311132162">
          <w:marLeft w:val="0"/>
          <w:marRight w:val="0"/>
          <w:marTop w:val="0"/>
          <w:marBottom w:val="0"/>
          <w:divBdr>
            <w:top w:val="none" w:sz="0" w:space="0" w:color="auto"/>
            <w:left w:val="none" w:sz="0" w:space="0" w:color="auto"/>
            <w:bottom w:val="none" w:sz="0" w:space="0" w:color="auto"/>
            <w:right w:val="none" w:sz="0" w:space="0" w:color="auto"/>
          </w:divBdr>
          <w:divsChild>
            <w:div w:id="893584276">
              <w:marLeft w:val="0"/>
              <w:marRight w:val="0"/>
              <w:marTop w:val="0"/>
              <w:marBottom w:val="0"/>
              <w:divBdr>
                <w:top w:val="none" w:sz="0" w:space="0" w:color="auto"/>
                <w:left w:val="none" w:sz="0" w:space="0" w:color="auto"/>
                <w:bottom w:val="none" w:sz="0" w:space="0" w:color="auto"/>
                <w:right w:val="none" w:sz="0" w:space="0" w:color="auto"/>
              </w:divBdr>
              <w:divsChild>
                <w:div w:id="374933079">
                  <w:marLeft w:val="0"/>
                  <w:marRight w:val="0"/>
                  <w:marTop w:val="0"/>
                  <w:marBottom w:val="0"/>
                  <w:divBdr>
                    <w:top w:val="none" w:sz="0" w:space="0" w:color="auto"/>
                    <w:left w:val="none" w:sz="0" w:space="0" w:color="auto"/>
                    <w:bottom w:val="none" w:sz="0" w:space="0" w:color="auto"/>
                    <w:right w:val="none" w:sz="0" w:space="0" w:color="auto"/>
                  </w:divBdr>
                  <w:divsChild>
                    <w:div w:id="831140655">
                      <w:marLeft w:val="0"/>
                      <w:marRight w:val="0"/>
                      <w:marTop w:val="0"/>
                      <w:marBottom w:val="0"/>
                      <w:divBdr>
                        <w:top w:val="none" w:sz="0" w:space="0" w:color="auto"/>
                        <w:left w:val="none" w:sz="0" w:space="0" w:color="auto"/>
                        <w:bottom w:val="none" w:sz="0" w:space="0" w:color="auto"/>
                        <w:right w:val="none" w:sz="0" w:space="0" w:color="auto"/>
                      </w:divBdr>
                      <w:divsChild>
                        <w:div w:id="4070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32777">
      <w:bodyDiv w:val="1"/>
      <w:marLeft w:val="0"/>
      <w:marRight w:val="0"/>
      <w:marTop w:val="0"/>
      <w:marBottom w:val="0"/>
      <w:divBdr>
        <w:top w:val="none" w:sz="0" w:space="0" w:color="auto"/>
        <w:left w:val="none" w:sz="0" w:space="0" w:color="auto"/>
        <w:bottom w:val="none" w:sz="0" w:space="0" w:color="auto"/>
        <w:right w:val="none" w:sz="0" w:space="0" w:color="auto"/>
      </w:divBdr>
    </w:div>
    <w:div w:id="1648780166">
      <w:bodyDiv w:val="1"/>
      <w:marLeft w:val="0"/>
      <w:marRight w:val="0"/>
      <w:marTop w:val="0"/>
      <w:marBottom w:val="0"/>
      <w:divBdr>
        <w:top w:val="none" w:sz="0" w:space="0" w:color="auto"/>
        <w:left w:val="none" w:sz="0" w:space="0" w:color="auto"/>
        <w:bottom w:val="none" w:sz="0" w:space="0" w:color="auto"/>
        <w:right w:val="none" w:sz="0" w:space="0" w:color="auto"/>
      </w:divBdr>
    </w:div>
    <w:div w:id="1689670587">
      <w:bodyDiv w:val="1"/>
      <w:marLeft w:val="0"/>
      <w:marRight w:val="0"/>
      <w:marTop w:val="0"/>
      <w:marBottom w:val="0"/>
      <w:divBdr>
        <w:top w:val="none" w:sz="0" w:space="0" w:color="auto"/>
        <w:left w:val="none" w:sz="0" w:space="0" w:color="auto"/>
        <w:bottom w:val="none" w:sz="0" w:space="0" w:color="auto"/>
        <w:right w:val="none" w:sz="0" w:space="0" w:color="auto"/>
      </w:divBdr>
    </w:div>
    <w:div w:id="1715036324">
      <w:bodyDiv w:val="1"/>
      <w:marLeft w:val="0"/>
      <w:marRight w:val="0"/>
      <w:marTop w:val="0"/>
      <w:marBottom w:val="0"/>
      <w:divBdr>
        <w:top w:val="none" w:sz="0" w:space="0" w:color="auto"/>
        <w:left w:val="none" w:sz="0" w:space="0" w:color="auto"/>
        <w:bottom w:val="none" w:sz="0" w:space="0" w:color="auto"/>
        <w:right w:val="none" w:sz="0" w:space="0" w:color="auto"/>
      </w:divBdr>
    </w:div>
    <w:div w:id="1794669719">
      <w:bodyDiv w:val="1"/>
      <w:marLeft w:val="0"/>
      <w:marRight w:val="0"/>
      <w:marTop w:val="0"/>
      <w:marBottom w:val="0"/>
      <w:divBdr>
        <w:top w:val="none" w:sz="0" w:space="0" w:color="auto"/>
        <w:left w:val="none" w:sz="0" w:space="0" w:color="auto"/>
        <w:bottom w:val="none" w:sz="0" w:space="0" w:color="auto"/>
        <w:right w:val="none" w:sz="0" w:space="0" w:color="auto"/>
      </w:divBdr>
    </w:div>
    <w:div w:id="1800416656">
      <w:bodyDiv w:val="1"/>
      <w:marLeft w:val="0"/>
      <w:marRight w:val="0"/>
      <w:marTop w:val="0"/>
      <w:marBottom w:val="0"/>
      <w:divBdr>
        <w:top w:val="none" w:sz="0" w:space="0" w:color="auto"/>
        <w:left w:val="none" w:sz="0" w:space="0" w:color="auto"/>
        <w:bottom w:val="none" w:sz="0" w:space="0" w:color="auto"/>
        <w:right w:val="none" w:sz="0" w:space="0" w:color="auto"/>
      </w:divBdr>
    </w:div>
    <w:div w:id="2046325124">
      <w:bodyDiv w:val="1"/>
      <w:marLeft w:val="0"/>
      <w:marRight w:val="0"/>
      <w:marTop w:val="0"/>
      <w:marBottom w:val="0"/>
      <w:divBdr>
        <w:top w:val="none" w:sz="0" w:space="0" w:color="auto"/>
        <w:left w:val="none" w:sz="0" w:space="0" w:color="auto"/>
        <w:bottom w:val="none" w:sz="0" w:space="0" w:color="auto"/>
        <w:right w:val="none" w:sz="0" w:space="0" w:color="auto"/>
      </w:divBdr>
      <w:divsChild>
        <w:div w:id="17417533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council legislation</TermName>
          <TermId xmlns="http://schemas.microsoft.com/office/infopath/2007/PartnerControls">db9908c5-a4c1-4ca4-bb33-0d1071c11fe5</TermId>
        </TermInfo>
      </Terms>
    </fc355e04e25945cc8ab89c123ad704c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f266399af4556e2c0000aee14e9847ac">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0097bec4ad6ad1f70e54f37ad9442073"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2EE6-FD06-4041-8654-CCC4C8A8A396}">
  <ds:schemaRefs>
    <ds:schemaRef ds:uri="http://schemas.microsoft.com/office/2006/metadata/properties"/>
    <ds:schemaRef ds:uri="http://schemas.microsoft.com/office/infopath/2007/PartnerControls"/>
    <ds:schemaRef ds:uri="c3f7562b-7648-45b2-a016-d2a51a3cec71"/>
    <ds:schemaRef ds:uri="http://schemas.microsoft.com/sharepoint/v4"/>
  </ds:schemaRefs>
</ds:datastoreItem>
</file>

<file path=customXml/itemProps2.xml><?xml version="1.0" encoding="utf-8"?>
<ds:datastoreItem xmlns:ds="http://schemas.openxmlformats.org/officeDocument/2006/customXml" ds:itemID="{7CA5C719-9FCD-41CB-94A5-B7F9E067E251}">
  <ds:schemaRefs>
    <ds:schemaRef ds:uri="http://schemas.microsoft.com/sharepoint/v3/contenttype/forms"/>
  </ds:schemaRefs>
</ds:datastoreItem>
</file>

<file path=customXml/itemProps3.xml><?xml version="1.0" encoding="utf-8"?>
<ds:datastoreItem xmlns:ds="http://schemas.openxmlformats.org/officeDocument/2006/customXml" ds:itemID="{21F2FC42-00C3-44C2-8FCB-919BC3B2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CEC14-F2A9-4AB8-983A-7A2F129D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Staff report template for ordinances and resolutions</vt:lpstr>
    </vt:vector>
  </TitlesOfParts>
  <Company>Metro Council</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 template for ordinances and resolutions</dc:title>
  <dc:creator>dizonv</dc:creator>
  <cp:lastModifiedBy>Molly Vogt</cp:lastModifiedBy>
  <cp:revision>7</cp:revision>
  <cp:lastPrinted>2020-02-18T23:02:00Z</cp:lastPrinted>
  <dcterms:created xsi:type="dcterms:W3CDTF">2021-04-09T15:13:00Z</dcterms:created>
  <dcterms:modified xsi:type="dcterms:W3CDTF">2021-04-09T16:31:00Z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0x0101006FF79D06ED53544480EC334040B1B493002A7E05E0D20421478F7B450765730F9B</vt:lpwstr>
  </property>
  <property fmtid="{D5CDD505-2E9C-101B-9397-08002B2CF9AE}" pid="3" name="MetroNet Keywords">
    <vt:lpwstr>65;#council legislation|db9908c5-a4c1-4ca4-bb33-0d1071c11fe5</vt:lpwstr>
  </property>
  <property fmtid="{D5CDD505-2E9C-101B-9397-08002B2CF9AE}" pid="4" name="TaxCatchAll">
    <vt:lpwstr>65;#council legislation|db9908c5-a4c1-4ca4-bb33-0d1071c11fe5</vt:lpwstr>
  </property>
</Properties>
</file>